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ind w:left="0"/>
        <w:rPr>
          <w:rFonts w:ascii="Times New Roman"/>
          <w:sz w:val="14"/>
        </w:rPr>
      </w:pPr>
    </w:p>
    <w:p>
      <w:pPr>
        <w:spacing w:line="160" w:lineRule="exact" w:before="1"/>
        <w:ind w:left="0" w:right="155" w:firstLine="0"/>
        <w:jc w:val="right"/>
        <w:rPr>
          <w:rFonts w:ascii="Arial"/>
          <w:sz w:val="14"/>
        </w:rPr>
      </w:pPr>
      <w:r>
        <w:rPr/>
        <w:drawing>
          <wp:anchor distT="0" distB="0" distL="0" distR="0" allowOverlap="1" layoutInCell="1" locked="0" behindDoc="0" simplePos="0" relativeHeight="1096">
            <wp:simplePos x="0" y="0"/>
            <wp:positionH relativeFrom="page">
              <wp:posOffset>571245</wp:posOffset>
            </wp:positionH>
            <wp:positionV relativeFrom="paragraph">
              <wp:posOffset>-109917</wp:posOffset>
            </wp:positionV>
            <wp:extent cx="1492211" cy="395381"/>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492211" cy="395381"/>
                    </a:xfrm>
                    <a:prstGeom prst="rect">
                      <a:avLst/>
                    </a:prstGeom>
                  </pic:spPr>
                </pic:pic>
              </a:graphicData>
            </a:graphic>
          </wp:anchor>
        </w:drawing>
      </w:r>
      <w:bookmarkStart w:name="_bookmark0" w:id="1"/>
      <w:bookmarkEnd w:id="1"/>
      <w:r>
        <w:rPr/>
      </w:r>
      <w:hyperlink r:id="rId7">
        <w:r>
          <w:rPr>
            <w:rFonts w:ascii="Arial"/>
            <w:color w:val="6D6E71"/>
            <w:w w:val="95"/>
            <w:sz w:val="14"/>
          </w:rPr>
          <w:t>REVIEW</w:t>
        </w:r>
      </w:hyperlink>
    </w:p>
    <w:p>
      <w:pPr>
        <w:spacing w:before="0"/>
        <w:ind w:left="8395" w:right="155" w:firstLine="430"/>
        <w:jc w:val="right"/>
        <w:rPr>
          <w:rFonts w:ascii="Arial"/>
          <w:sz w:val="14"/>
        </w:rPr>
      </w:pPr>
      <w:r>
        <w:rPr/>
        <w:pict>
          <v:line style="position:absolute;mso-position-horizontal-relative:page;mso-position-vertical-relative:paragraph;z-index:-1024;mso-wrap-distance-left:0;mso-wrap-distance-right:0" from="44.98pt,22.271927pt" to="550.397pt,22.271927pt" stroked="true" strokeweight=".249pt" strokecolor="#6d6e71">
            <v:stroke dashstyle="solid"/>
            <w10:wrap type="topAndBottom"/>
          </v:line>
        </w:pict>
      </w:r>
      <w:r>
        <w:rPr/>
        <w:drawing>
          <wp:anchor distT="0" distB="0" distL="0" distR="0" allowOverlap="1" layoutInCell="1" locked="0" behindDoc="0" simplePos="0" relativeHeight="1">
            <wp:simplePos x="0" y="0"/>
            <wp:positionH relativeFrom="page">
              <wp:posOffset>6634376</wp:posOffset>
            </wp:positionH>
            <wp:positionV relativeFrom="paragraph">
              <wp:posOffset>378000</wp:posOffset>
            </wp:positionV>
            <wp:extent cx="357172" cy="357187"/>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357172" cy="357187"/>
                    </a:xfrm>
                    <a:prstGeom prst="rect">
                      <a:avLst/>
                    </a:prstGeom>
                  </pic:spPr>
                </pic:pic>
              </a:graphicData>
            </a:graphic>
          </wp:anchor>
        </w:drawing>
      </w:r>
      <w:hyperlink r:id="rId7">
        <w:r>
          <w:rPr>
            <w:rFonts w:ascii="Arial"/>
            <w:color w:val="6D6E71"/>
            <w:sz w:val="14"/>
          </w:rPr>
          <w:t>published: 24</w:t>
        </w:r>
        <w:r>
          <w:rPr>
            <w:rFonts w:ascii="Arial"/>
            <w:color w:val="6D6E71"/>
            <w:spacing w:val="-18"/>
            <w:sz w:val="14"/>
          </w:rPr>
          <w:t> </w:t>
        </w:r>
        <w:r>
          <w:rPr>
            <w:rFonts w:ascii="Arial"/>
            <w:color w:val="6D6E71"/>
            <w:sz w:val="14"/>
          </w:rPr>
          <w:t>July</w:t>
        </w:r>
        <w:r>
          <w:rPr>
            <w:rFonts w:ascii="Arial"/>
            <w:color w:val="6D6E71"/>
            <w:spacing w:val="-8"/>
            <w:sz w:val="14"/>
          </w:rPr>
          <w:t> </w:t>
        </w:r>
        <w:r>
          <w:rPr>
            <w:rFonts w:ascii="Arial"/>
            <w:color w:val="6D6E71"/>
            <w:spacing w:val="-5"/>
            <w:sz w:val="14"/>
          </w:rPr>
          <w:t>2019</w:t>
        </w:r>
      </w:hyperlink>
      <w:r>
        <w:rPr>
          <w:rFonts w:ascii="Arial"/>
          <w:color w:val="6D6E71"/>
          <w:w w:val="99"/>
          <w:sz w:val="14"/>
        </w:rPr>
        <w:t> </w:t>
      </w:r>
      <w:hyperlink r:id="rId9">
        <w:r>
          <w:rPr>
            <w:rFonts w:ascii="Arial"/>
            <w:color w:val="6D6E71"/>
            <w:w w:val="95"/>
            <w:sz w:val="14"/>
          </w:rPr>
          <w:t>doi: </w:t>
        </w:r>
        <w:r>
          <w:rPr>
            <w:rFonts w:ascii="Arial"/>
            <w:color w:val="6D6E71"/>
            <w:spacing w:val="28"/>
            <w:w w:val="95"/>
            <w:sz w:val="14"/>
          </w:rPr>
          <w:t> </w:t>
        </w:r>
        <w:r>
          <w:rPr>
            <w:rFonts w:ascii="Arial"/>
            <w:color w:val="6D6E71"/>
            <w:w w:val="95"/>
            <w:sz w:val="14"/>
          </w:rPr>
          <w:t>10.3389/fnins.2019.00772</w:t>
        </w:r>
      </w:hyperlink>
    </w:p>
    <w:p>
      <w:pPr>
        <w:pStyle w:val="BodyText"/>
        <w:spacing w:before="9"/>
        <w:ind w:left="0"/>
        <w:rPr>
          <w:rFonts w:ascii="Arial"/>
          <w:sz w:val="6"/>
        </w:rPr>
      </w:pPr>
    </w:p>
    <w:p>
      <w:pPr>
        <w:pStyle w:val="BodyText"/>
        <w:spacing w:before="2"/>
        <w:ind w:left="0"/>
        <w:rPr>
          <w:rFonts w:ascii="Arial"/>
          <w:sz w:val="15"/>
        </w:rPr>
      </w:pPr>
    </w:p>
    <w:p>
      <w:pPr>
        <w:spacing w:line="228" w:lineRule="auto" w:before="0"/>
        <w:ind w:left="2809" w:right="745" w:firstLine="0"/>
        <w:jc w:val="left"/>
        <w:rPr>
          <w:rFonts w:ascii="Arial" w:hAnsi="Arial"/>
          <w:sz w:val="42"/>
        </w:rPr>
      </w:pPr>
      <w:bookmarkStart w:name="Current Directions in the Auricular Vagu" w:id="2"/>
      <w:bookmarkEnd w:id="2"/>
      <w:r>
        <w:rPr/>
      </w:r>
      <w:hyperlink r:id="rId10">
        <w:r>
          <w:rPr>
            <w:rFonts w:ascii="Arial" w:hAnsi="Arial"/>
            <w:color w:val="231F20"/>
            <w:w w:val="105"/>
            <w:sz w:val="42"/>
          </w:rPr>
          <w:t>Current Directions in the Auricular Vagus Nerve Stimulation II – An Engineering Perspective</w:t>
        </w:r>
      </w:hyperlink>
    </w:p>
    <w:p>
      <w:pPr>
        <w:spacing w:line="252" w:lineRule="auto" w:before="204"/>
        <w:ind w:left="2809" w:right="745" w:firstLine="0"/>
        <w:jc w:val="left"/>
        <w:rPr>
          <w:rFonts w:ascii="Arial" w:hAnsi="Arial"/>
          <w:i/>
          <w:sz w:val="10"/>
        </w:rPr>
      </w:pPr>
      <w:hyperlink r:id="rId11">
        <w:r>
          <w:rPr>
            <w:rFonts w:ascii="Arial" w:hAnsi="Arial"/>
            <w:i/>
            <w:color w:val="231F20"/>
            <w:w w:val="105"/>
            <w:position w:val="1"/>
            <w:sz w:val="18"/>
          </w:rPr>
          <w:t>Eugenijus</w:t>
        </w:r>
        <w:r>
          <w:rPr>
            <w:rFonts w:ascii="Arial" w:hAnsi="Arial"/>
            <w:i/>
            <w:color w:val="231F20"/>
            <w:spacing w:val="-13"/>
            <w:w w:val="105"/>
            <w:position w:val="1"/>
            <w:sz w:val="18"/>
          </w:rPr>
          <w:t> </w:t>
        </w:r>
        <w:r>
          <w:rPr>
            <w:rFonts w:ascii="Arial" w:hAnsi="Arial"/>
            <w:i/>
            <w:color w:val="231F20"/>
            <w:w w:val="105"/>
            <w:position w:val="1"/>
            <w:sz w:val="18"/>
          </w:rPr>
          <w:t>Kaniusas</w:t>
        </w:r>
      </w:hyperlink>
      <w:r>
        <w:rPr>
          <w:rFonts w:ascii="Arial" w:hAnsi="Arial"/>
          <w:i/>
          <w:color w:val="231F20"/>
          <w:w w:val="105"/>
          <w:position w:val="6"/>
          <w:sz w:val="10"/>
        </w:rPr>
        <w:t>1</w:t>
      </w:r>
      <w:r>
        <w:rPr>
          <w:rFonts w:ascii="Arial" w:hAnsi="Arial"/>
          <w:i/>
          <w:color w:val="231F20"/>
          <w:w w:val="105"/>
          <w:sz w:val="18"/>
        </w:rPr>
        <w:t>*</w:t>
      </w:r>
      <w:r>
        <w:rPr>
          <w:rFonts w:ascii="Arial" w:hAnsi="Arial"/>
          <w:i/>
          <w:color w:val="231F20"/>
          <w:w w:val="105"/>
          <w:position w:val="1"/>
          <w:sz w:val="18"/>
        </w:rPr>
        <w:t>,</w:t>
      </w:r>
      <w:r>
        <w:rPr>
          <w:rFonts w:ascii="Arial" w:hAnsi="Arial"/>
          <w:i/>
          <w:color w:val="231F20"/>
          <w:spacing w:val="-12"/>
          <w:w w:val="105"/>
          <w:position w:val="1"/>
          <w:sz w:val="18"/>
        </w:rPr>
        <w:t> </w:t>
      </w:r>
      <w:hyperlink r:id="rId12">
        <w:r>
          <w:rPr>
            <w:rFonts w:ascii="Arial" w:hAnsi="Arial"/>
            <w:i/>
            <w:color w:val="231F20"/>
            <w:w w:val="105"/>
            <w:position w:val="1"/>
            <w:sz w:val="18"/>
          </w:rPr>
          <w:t>Stefan</w:t>
        </w:r>
        <w:r>
          <w:rPr>
            <w:rFonts w:ascii="Arial" w:hAnsi="Arial"/>
            <w:i/>
            <w:color w:val="231F20"/>
            <w:spacing w:val="-13"/>
            <w:w w:val="105"/>
            <w:position w:val="1"/>
            <w:sz w:val="18"/>
          </w:rPr>
          <w:t> </w:t>
        </w:r>
        <w:r>
          <w:rPr>
            <w:rFonts w:ascii="Arial" w:hAnsi="Arial"/>
            <w:i/>
            <w:color w:val="231F20"/>
            <w:w w:val="105"/>
            <w:position w:val="1"/>
            <w:sz w:val="18"/>
          </w:rPr>
          <w:t>Kampusch</w:t>
        </w:r>
      </w:hyperlink>
      <w:r>
        <w:rPr>
          <w:rFonts w:ascii="Arial" w:hAnsi="Arial"/>
          <w:i/>
          <w:color w:val="231F20"/>
          <w:w w:val="105"/>
          <w:position w:val="6"/>
          <w:sz w:val="10"/>
        </w:rPr>
        <w:t>1,2</w:t>
      </w:r>
      <w:r>
        <w:rPr>
          <w:rFonts w:ascii="Arial" w:hAnsi="Arial"/>
          <w:i/>
          <w:color w:val="231F20"/>
          <w:spacing w:val="-21"/>
          <w:w w:val="105"/>
          <w:position w:val="6"/>
          <w:sz w:val="10"/>
        </w:rPr>
        <w:t> </w:t>
      </w:r>
      <w:r>
        <w:rPr>
          <w:rFonts w:ascii="Arial" w:hAnsi="Arial"/>
          <w:i/>
          <w:color w:val="231F20"/>
          <w:w w:val="105"/>
          <w:position w:val="1"/>
          <w:sz w:val="18"/>
        </w:rPr>
        <w:t>,</w:t>
      </w:r>
      <w:r>
        <w:rPr>
          <w:rFonts w:ascii="Arial" w:hAnsi="Arial"/>
          <w:i/>
          <w:color w:val="231F20"/>
          <w:spacing w:val="-13"/>
          <w:w w:val="105"/>
          <w:position w:val="1"/>
          <w:sz w:val="18"/>
        </w:rPr>
        <w:t> </w:t>
      </w:r>
      <w:hyperlink r:id="rId13">
        <w:r>
          <w:rPr>
            <w:rFonts w:ascii="Arial" w:hAnsi="Arial"/>
            <w:i/>
            <w:color w:val="231F20"/>
            <w:w w:val="105"/>
            <w:position w:val="1"/>
            <w:sz w:val="18"/>
          </w:rPr>
          <w:t>Marc</w:t>
        </w:r>
        <w:r>
          <w:rPr>
            <w:rFonts w:ascii="Arial" w:hAnsi="Arial"/>
            <w:i/>
            <w:color w:val="231F20"/>
            <w:spacing w:val="-12"/>
            <w:w w:val="105"/>
            <w:position w:val="1"/>
            <w:sz w:val="18"/>
          </w:rPr>
          <w:t> </w:t>
        </w:r>
        <w:r>
          <w:rPr>
            <w:rFonts w:ascii="Arial" w:hAnsi="Arial"/>
            <w:i/>
            <w:color w:val="231F20"/>
            <w:w w:val="105"/>
            <w:position w:val="1"/>
            <w:sz w:val="18"/>
          </w:rPr>
          <w:t>Tittgemeyer</w:t>
        </w:r>
      </w:hyperlink>
      <w:r>
        <w:rPr>
          <w:rFonts w:ascii="Arial" w:hAnsi="Arial"/>
          <w:i/>
          <w:color w:val="231F20"/>
          <w:w w:val="105"/>
          <w:position w:val="6"/>
          <w:sz w:val="10"/>
        </w:rPr>
        <w:t>3,4</w:t>
      </w:r>
      <w:r>
        <w:rPr>
          <w:rFonts w:ascii="Arial" w:hAnsi="Arial"/>
          <w:i/>
          <w:color w:val="231F20"/>
          <w:spacing w:val="-22"/>
          <w:w w:val="105"/>
          <w:position w:val="6"/>
          <w:sz w:val="10"/>
        </w:rPr>
        <w:t> </w:t>
      </w:r>
      <w:r>
        <w:rPr>
          <w:rFonts w:ascii="Arial" w:hAnsi="Arial"/>
          <w:i/>
          <w:color w:val="231F20"/>
          <w:w w:val="105"/>
          <w:position w:val="1"/>
          <w:sz w:val="18"/>
        </w:rPr>
        <w:t>,</w:t>
      </w:r>
      <w:r>
        <w:rPr>
          <w:rFonts w:ascii="Arial" w:hAnsi="Arial"/>
          <w:i/>
          <w:color w:val="231F20"/>
          <w:spacing w:val="-12"/>
          <w:w w:val="105"/>
          <w:position w:val="1"/>
          <w:sz w:val="18"/>
        </w:rPr>
        <w:t> </w:t>
      </w:r>
      <w:hyperlink r:id="rId14">
        <w:r>
          <w:rPr>
            <w:rFonts w:ascii="Arial" w:hAnsi="Arial"/>
            <w:i/>
            <w:color w:val="231F20"/>
            <w:w w:val="105"/>
            <w:position w:val="1"/>
            <w:sz w:val="18"/>
          </w:rPr>
          <w:t>Fivos</w:t>
        </w:r>
        <w:r>
          <w:rPr>
            <w:rFonts w:ascii="Arial" w:hAnsi="Arial"/>
            <w:i/>
            <w:color w:val="231F20"/>
            <w:spacing w:val="-12"/>
            <w:w w:val="105"/>
            <w:position w:val="1"/>
            <w:sz w:val="18"/>
          </w:rPr>
          <w:t> </w:t>
        </w:r>
        <w:r>
          <w:rPr>
            <w:rFonts w:ascii="Arial" w:hAnsi="Arial"/>
            <w:i/>
            <w:color w:val="231F20"/>
            <w:w w:val="105"/>
            <w:position w:val="1"/>
            <w:sz w:val="18"/>
          </w:rPr>
          <w:t>Panetsos</w:t>
        </w:r>
      </w:hyperlink>
      <w:r>
        <w:rPr>
          <w:rFonts w:ascii="Arial" w:hAnsi="Arial"/>
          <w:i/>
          <w:color w:val="231F20"/>
          <w:w w:val="105"/>
          <w:position w:val="6"/>
          <w:sz w:val="10"/>
        </w:rPr>
        <w:t>5</w:t>
      </w:r>
      <w:r>
        <w:rPr>
          <w:rFonts w:ascii="Arial" w:hAnsi="Arial"/>
          <w:i/>
          <w:color w:val="231F20"/>
          <w:spacing w:val="-22"/>
          <w:w w:val="105"/>
          <w:position w:val="6"/>
          <w:sz w:val="10"/>
        </w:rPr>
        <w:t> </w:t>
      </w:r>
      <w:r>
        <w:rPr>
          <w:rFonts w:ascii="Arial" w:hAnsi="Arial"/>
          <w:i/>
          <w:color w:val="231F20"/>
          <w:spacing w:val="-11"/>
          <w:w w:val="105"/>
          <w:position w:val="1"/>
          <w:sz w:val="18"/>
        </w:rPr>
        <w:t>, </w:t>
      </w:r>
      <w:hyperlink r:id="rId15">
        <w:r>
          <w:rPr>
            <w:rFonts w:ascii="Arial" w:hAnsi="Arial"/>
            <w:i/>
            <w:color w:val="231F20"/>
            <w:w w:val="105"/>
            <w:sz w:val="18"/>
          </w:rPr>
          <w:t>Raquel Fernandez Gines</w:t>
        </w:r>
      </w:hyperlink>
      <w:r>
        <w:rPr>
          <w:rFonts w:ascii="Arial" w:hAnsi="Arial"/>
          <w:i/>
          <w:color w:val="231F20"/>
          <w:w w:val="105"/>
          <w:position w:val="5"/>
          <w:sz w:val="10"/>
        </w:rPr>
        <w:t>5 </w:t>
      </w:r>
      <w:r>
        <w:rPr>
          <w:rFonts w:ascii="Arial" w:hAnsi="Arial"/>
          <w:i/>
          <w:color w:val="231F20"/>
          <w:w w:val="105"/>
          <w:sz w:val="18"/>
        </w:rPr>
        <w:t>, </w:t>
      </w:r>
      <w:hyperlink r:id="rId16">
        <w:r>
          <w:rPr>
            <w:rFonts w:ascii="Arial" w:hAnsi="Arial"/>
            <w:i/>
            <w:color w:val="231F20"/>
            <w:w w:val="105"/>
            <w:sz w:val="18"/>
          </w:rPr>
          <w:t>Michele Papa</w:t>
        </w:r>
      </w:hyperlink>
      <w:r>
        <w:rPr>
          <w:rFonts w:ascii="Arial" w:hAnsi="Arial"/>
          <w:i/>
          <w:color w:val="231F20"/>
          <w:w w:val="105"/>
          <w:position w:val="5"/>
          <w:sz w:val="10"/>
        </w:rPr>
        <w:t>6 </w:t>
      </w:r>
      <w:r>
        <w:rPr>
          <w:rFonts w:ascii="Arial" w:hAnsi="Arial"/>
          <w:i/>
          <w:color w:val="231F20"/>
          <w:w w:val="105"/>
          <w:sz w:val="18"/>
        </w:rPr>
        <w:t>, </w:t>
      </w:r>
      <w:hyperlink r:id="rId17">
        <w:r>
          <w:rPr>
            <w:rFonts w:ascii="Arial" w:hAnsi="Arial"/>
            <w:i/>
            <w:color w:val="231F20"/>
            <w:w w:val="105"/>
            <w:sz w:val="18"/>
          </w:rPr>
          <w:t>Attila Kiss</w:t>
        </w:r>
      </w:hyperlink>
      <w:r>
        <w:rPr>
          <w:rFonts w:ascii="Arial" w:hAnsi="Arial"/>
          <w:i/>
          <w:color w:val="231F20"/>
          <w:w w:val="105"/>
          <w:position w:val="5"/>
          <w:sz w:val="10"/>
        </w:rPr>
        <w:t>7 </w:t>
      </w:r>
      <w:r>
        <w:rPr>
          <w:rFonts w:ascii="Arial" w:hAnsi="Arial"/>
          <w:i/>
          <w:color w:val="231F20"/>
          <w:w w:val="105"/>
          <w:sz w:val="18"/>
        </w:rPr>
        <w:t>, </w:t>
      </w:r>
      <w:hyperlink r:id="rId18">
        <w:r>
          <w:rPr>
            <w:rFonts w:ascii="Arial" w:hAnsi="Arial"/>
            <w:i/>
            <w:color w:val="231F20"/>
            <w:w w:val="105"/>
            <w:sz w:val="18"/>
          </w:rPr>
          <w:t>Bruno Podesser</w:t>
        </w:r>
      </w:hyperlink>
      <w:r>
        <w:rPr>
          <w:rFonts w:ascii="Arial" w:hAnsi="Arial"/>
          <w:i/>
          <w:color w:val="231F20"/>
          <w:w w:val="105"/>
          <w:position w:val="5"/>
          <w:sz w:val="10"/>
        </w:rPr>
        <w:t>7 </w:t>
      </w:r>
      <w:r>
        <w:rPr>
          <w:rFonts w:ascii="Arial" w:hAnsi="Arial"/>
          <w:i/>
          <w:color w:val="231F20"/>
          <w:w w:val="105"/>
          <w:sz w:val="18"/>
        </w:rPr>
        <w:t>, </w:t>
      </w:r>
      <w:hyperlink r:id="rId19">
        <w:r>
          <w:rPr>
            <w:rFonts w:ascii="Arial" w:hAnsi="Arial"/>
            <w:i/>
            <w:color w:val="231F20"/>
            <w:w w:val="105"/>
            <w:sz w:val="18"/>
          </w:rPr>
          <w:t>Antonino Mario Cassara</w:t>
        </w:r>
      </w:hyperlink>
      <w:r>
        <w:rPr>
          <w:rFonts w:ascii="Arial" w:hAnsi="Arial"/>
          <w:i/>
          <w:color w:val="231F20"/>
          <w:w w:val="105"/>
          <w:position w:val="5"/>
          <w:sz w:val="10"/>
        </w:rPr>
        <w:t>8 </w:t>
      </w:r>
      <w:r>
        <w:rPr>
          <w:rFonts w:ascii="Arial" w:hAnsi="Arial"/>
          <w:i/>
          <w:color w:val="231F20"/>
          <w:w w:val="105"/>
          <w:sz w:val="18"/>
        </w:rPr>
        <w:t>, Emmeric Tanghe</w:t>
      </w:r>
      <w:r>
        <w:rPr>
          <w:rFonts w:ascii="Arial" w:hAnsi="Arial"/>
          <w:i/>
          <w:color w:val="231F20"/>
          <w:w w:val="105"/>
          <w:position w:val="5"/>
          <w:sz w:val="10"/>
        </w:rPr>
        <w:t>9 </w:t>
      </w:r>
      <w:r>
        <w:rPr>
          <w:rFonts w:ascii="Arial" w:hAnsi="Arial"/>
          <w:i/>
          <w:color w:val="231F20"/>
          <w:w w:val="105"/>
          <w:sz w:val="18"/>
        </w:rPr>
        <w:t>, </w:t>
      </w:r>
      <w:hyperlink r:id="rId20">
        <w:r>
          <w:rPr>
            <w:rFonts w:ascii="Arial" w:hAnsi="Arial"/>
            <w:i/>
            <w:color w:val="231F20"/>
            <w:w w:val="105"/>
            <w:sz w:val="18"/>
          </w:rPr>
          <w:t>Amine Mohammed Samoudi</w:t>
        </w:r>
      </w:hyperlink>
      <w:r>
        <w:rPr>
          <w:rFonts w:ascii="Arial" w:hAnsi="Arial"/>
          <w:i/>
          <w:color w:val="231F20"/>
          <w:w w:val="105"/>
          <w:position w:val="5"/>
          <w:sz w:val="10"/>
        </w:rPr>
        <w:t>9 </w:t>
      </w:r>
      <w:r>
        <w:rPr>
          <w:rFonts w:ascii="Arial" w:hAnsi="Arial"/>
          <w:i/>
          <w:color w:val="231F20"/>
          <w:w w:val="105"/>
          <w:sz w:val="18"/>
        </w:rPr>
        <w:t>, </w:t>
      </w:r>
      <w:hyperlink r:id="rId21">
        <w:r>
          <w:rPr>
            <w:rFonts w:ascii="Arial" w:hAnsi="Arial"/>
            <w:i/>
            <w:color w:val="231F20"/>
            <w:w w:val="105"/>
            <w:sz w:val="18"/>
          </w:rPr>
          <w:t>Thomas Tarnaud</w:t>
        </w:r>
      </w:hyperlink>
      <w:r>
        <w:rPr>
          <w:rFonts w:ascii="Arial" w:hAnsi="Arial"/>
          <w:i/>
          <w:color w:val="231F20"/>
          <w:w w:val="105"/>
          <w:position w:val="5"/>
          <w:sz w:val="10"/>
        </w:rPr>
        <w:t>9 </w:t>
      </w:r>
      <w:r>
        <w:rPr>
          <w:rFonts w:ascii="Arial" w:hAnsi="Arial"/>
          <w:i/>
          <w:color w:val="231F20"/>
          <w:w w:val="105"/>
          <w:sz w:val="18"/>
        </w:rPr>
        <w:t>, </w:t>
      </w:r>
      <w:hyperlink r:id="rId22">
        <w:r>
          <w:rPr>
            <w:rFonts w:ascii="Arial" w:hAnsi="Arial"/>
            <w:i/>
            <w:color w:val="231F20"/>
            <w:w w:val="105"/>
            <w:sz w:val="18"/>
          </w:rPr>
          <w:t>Wout Joseph</w:t>
        </w:r>
      </w:hyperlink>
      <w:r>
        <w:rPr>
          <w:rFonts w:ascii="Arial" w:hAnsi="Arial"/>
          <w:i/>
          <w:color w:val="231F20"/>
          <w:w w:val="105"/>
          <w:position w:val="5"/>
          <w:sz w:val="10"/>
        </w:rPr>
        <w:t>9 </w:t>
      </w:r>
      <w:r>
        <w:rPr>
          <w:rFonts w:ascii="Arial" w:hAnsi="Arial"/>
          <w:i/>
          <w:color w:val="231F20"/>
          <w:w w:val="105"/>
          <w:sz w:val="18"/>
        </w:rPr>
        <w:t>, Vaidotas Marozas</w:t>
      </w:r>
      <w:r>
        <w:rPr>
          <w:rFonts w:ascii="Arial" w:hAnsi="Arial"/>
          <w:i/>
          <w:color w:val="231F20"/>
          <w:w w:val="105"/>
          <w:position w:val="5"/>
          <w:sz w:val="10"/>
        </w:rPr>
        <w:t>10 </w:t>
      </w:r>
      <w:r>
        <w:rPr>
          <w:rFonts w:ascii="Arial" w:hAnsi="Arial"/>
          <w:i/>
          <w:color w:val="231F20"/>
          <w:w w:val="105"/>
          <w:sz w:val="18"/>
        </w:rPr>
        <w:t>, Arunas Lukosevicius</w:t>
      </w:r>
      <w:r>
        <w:rPr>
          <w:rFonts w:ascii="Arial" w:hAnsi="Arial"/>
          <w:i/>
          <w:color w:val="231F20"/>
          <w:w w:val="105"/>
          <w:position w:val="5"/>
          <w:sz w:val="10"/>
        </w:rPr>
        <w:t>10 </w:t>
      </w:r>
      <w:r>
        <w:rPr>
          <w:rFonts w:ascii="Arial" w:hAnsi="Arial"/>
          <w:i/>
          <w:color w:val="231F20"/>
          <w:w w:val="105"/>
          <w:sz w:val="18"/>
        </w:rPr>
        <w:t>, Niko</w:t>
      </w:r>
      <w:r>
        <w:rPr>
          <w:rFonts w:ascii="Arial" w:hAnsi="Arial"/>
          <w:i/>
          <w:color w:val="231F20"/>
          <w:spacing w:val="-11"/>
          <w:w w:val="105"/>
          <w:sz w:val="18"/>
        </w:rPr>
        <w:t> </w:t>
      </w:r>
      <w:r>
        <w:rPr>
          <w:rFonts w:ascii="Arial" w:hAnsi="Arial"/>
          <w:i/>
          <w:color w:val="231F20"/>
          <w:w w:val="105"/>
          <w:sz w:val="18"/>
        </w:rPr>
        <w:t>Ištuk</w:t>
      </w:r>
      <w:r>
        <w:rPr>
          <w:rFonts w:ascii="Arial" w:hAnsi="Arial"/>
          <w:i/>
          <w:color w:val="231F20"/>
          <w:w w:val="105"/>
          <w:position w:val="5"/>
          <w:sz w:val="10"/>
        </w:rPr>
        <w:t>11</w:t>
      </w:r>
      <w:r>
        <w:rPr>
          <w:rFonts w:ascii="Arial" w:hAnsi="Arial"/>
          <w:i/>
          <w:color w:val="231F20"/>
          <w:spacing w:val="-21"/>
          <w:w w:val="105"/>
          <w:position w:val="5"/>
          <w:sz w:val="10"/>
        </w:rPr>
        <w:t> </w:t>
      </w:r>
      <w:r>
        <w:rPr>
          <w:rFonts w:ascii="Arial" w:hAnsi="Arial"/>
          <w:i/>
          <w:color w:val="231F20"/>
          <w:w w:val="105"/>
          <w:sz w:val="18"/>
        </w:rPr>
        <w:t>,</w:t>
      </w:r>
      <w:r>
        <w:rPr>
          <w:rFonts w:ascii="Arial" w:hAnsi="Arial"/>
          <w:i/>
          <w:color w:val="231F20"/>
          <w:spacing w:val="-11"/>
          <w:w w:val="105"/>
          <w:sz w:val="18"/>
        </w:rPr>
        <w:t> </w:t>
      </w:r>
      <w:hyperlink r:id="rId23">
        <w:r>
          <w:rPr>
            <w:rFonts w:ascii="Arial" w:hAnsi="Arial"/>
            <w:i/>
            <w:color w:val="231F20"/>
            <w:w w:val="105"/>
            <w:sz w:val="18"/>
          </w:rPr>
          <w:t>Sarah</w:t>
        </w:r>
        <w:r>
          <w:rPr>
            <w:rFonts w:ascii="Arial" w:hAnsi="Arial"/>
            <w:i/>
            <w:color w:val="231F20"/>
            <w:spacing w:val="-11"/>
            <w:w w:val="105"/>
            <w:sz w:val="18"/>
          </w:rPr>
          <w:t> </w:t>
        </w:r>
        <w:r>
          <w:rPr>
            <w:rFonts w:ascii="Arial" w:hAnsi="Arial"/>
            <w:i/>
            <w:color w:val="231F20"/>
            <w:w w:val="105"/>
            <w:sz w:val="18"/>
          </w:rPr>
          <w:t>Lechner</w:t>
        </w:r>
      </w:hyperlink>
      <w:r>
        <w:rPr>
          <w:rFonts w:ascii="Arial" w:hAnsi="Arial"/>
          <w:i/>
          <w:color w:val="231F20"/>
          <w:w w:val="105"/>
          <w:position w:val="5"/>
          <w:sz w:val="10"/>
        </w:rPr>
        <w:t>2</w:t>
      </w:r>
      <w:r>
        <w:rPr>
          <w:rFonts w:ascii="Arial" w:hAnsi="Arial"/>
          <w:i/>
          <w:color w:val="231F20"/>
          <w:spacing w:val="-21"/>
          <w:w w:val="105"/>
          <w:position w:val="5"/>
          <w:sz w:val="10"/>
        </w:rPr>
        <w:t> </w:t>
      </w:r>
      <w:r>
        <w:rPr>
          <w:rFonts w:ascii="Arial" w:hAnsi="Arial"/>
          <w:i/>
          <w:color w:val="231F20"/>
          <w:w w:val="105"/>
          <w:sz w:val="18"/>
        </w:rPr>
        <w:t>,</w:t>
      </w:r>
      <w:r>
        <w:rPr>
          <w:rFonts w:ascii="Arial" w:hAnsi="Arial"/>
          <w:i/>
          <w:color w:val="231F20"/>
          <w:spacing w:val="-11"/>
          <w:w w:val="105"/>
          <w:sz w:val="18"/>
        </w:rPr>
        <w:t> </w:t>
      </w:r>
      <w:hyperlink r:id="rId24">
        <w:r>
          <w:rPr>
            <w:rFonts w:ascii="Arial" w:hAnsi="Arial"/>
            <w:i/>
            <w:color w:val="231F20"/>
            <w:w w:val="105"/>
            <w:sz w:val="18"/>
          </w:rPr>
          <w:t>Wlodzimierz</w:t>
        </w:r>
        <w:r>
          <w:rPr>
            <w:rFonts w:ascii="Arial" w:hAnsi="Arial"/>
            <w:i/>
            <w:color w:val="231F20"/>
            <w:spacing w:val="-11"/>
            <w:w w:val="105"/>
            <w:sz w:val="18"/>
          </w:rPr>
          <w:t> </w:t>
        </w:r>
        <w:r>
          <w:rPr>
            <w:rFonts w:ascii="Arial" w:hAnsi="Arial"/>
            <w:i/>
            <w:color w:val="231F20"/>
            <w:w w:val="105"/>
            <w:sz w:val="18"/>
          </w:rPr>
          <w:t>Klonowski</w:t>
        </w:r>
      </w:hyperlink>
      <w:r>
        <w:rPr>
          <w:rFonts w:ascii="Arial" w:hAnsi="Arial"/>
          <w:i/>
          <w:color w:val="231F20"/>
          <w:w w:val="105"/>
          <w:position w:val="5"/>
          <w:sz w:val="10"/>
        </w:rPr>
        <w:t>12</w:t>
      </w:r>
      <w:r>
        <w:rPr>
          <w:rFonts w:ascii="Arial" w:hAnsi="Arial"/>
          <w:i/>
          <w:color w:val="231F20"/>
          <w:spacing w:val="-21"/>
          <w:w w:val="105"/>
          <w:position w:val="5"/>
          <w:sz w:val="10"/>
        </w:rPr>
        <w:t> </w:t>
      </w:r>
      <w:r>
        <w:rPr>
          <w:rFonts w:ascii="Arial" w:hAnsi="Arial"/>
          <w:i/>
          <w:color w:val="231F20"/>
          <w:w w:val="105"/>
          <w:sz w:val="18"/>
        </w:rPr>
        <w:t>,</w:t>
      </w:r>
      <w:r>
        <w:rPr>
          <w:rFonts w:ascii="Arial" w:hAnsi="Arial"/>
          <w:i/>
          <w:color w:val="231F20"/>
          <w:spacing w:val="-11"/>
          <w:w w:val="105"/>
          <w:sz w:val="18"/>
        </w:rPr>
        <w:t> </w:t>
      </w:r>
      <w:hyperlink r:id="rId25">
        <w:r>
          <w:rPr>
            <w:rFonts w:ascii="Arial" w:hAnsi="Arial"/>
            <w:i/>
            <w:color w:val="231F20"/>
            <w:w w:val="105"/>
            <w:sz w:val="18"/>
          </w:rPr>
          <w:t>Giedrius</w:t>
        </w:r>
        <w:r>
          <w:rPr>
            <w:rFonts w:ascii="Arial" w:hAnsi="Arial"/>
            <w:i/>
            <w:color w:val="231F20"/>
            <w:spacing w:val="-11"/>
            <w:w w:val="105"/>
            <w:sz w:val="18"/>
          </w:rPr>
          <w:t> </w:t>
        </w:r>
        <w:r>
          <w:rPr>
            <w:rFonts w:ascii="Arial" w:hAnsi="Arial"/>
            <w:i/>
            <w:color w:val="231F20"/>
            <w:w w:val="105"/>
            <w:sz w:val="18"/>
          </w:rPr>
          <w:t>Varoneckas</w:t>
        </w:r>
      </w:hyperlink>
      <w:r>
        <w:rPr>
          <w:rFonts w:ascii="Arial" w:hAnsi="Arial"/>
          <w:i/>
          <w:color w:val="231F20"/>
          <w:w w:val="105"/>
          <w:position w:val="5"/>
          <w:sz w:val="10"/>
        </w:rPr>
        <w:t>13,14</w:t>
      </w:r>
      <w:r>
        <w:rPr>
          <w:rFonts w:ascii="Arial" w:hAnsi="Arial"/>
          <w:i/>
          <w:color w:val="231F20"/>
          <w:spacing w:val="-21"/>
          <w:w w:val="105"/>
          <w:position w:val="5"/>
          <w:sz w:val="10"/>
        </w:rPr>
        <w:t> </w:t>
      </w:r>
      <w:r>
        <w:rPr>
          <w:rFonts w:ascii="Arial" w:hAnsi="Arial"/>
          <w:i/>
          <w:color w:val="231F20"/>
          <w:w w:val="105"/>
          <w:sz w:val="18"/>
        </w:rPr>
        <w:t>, Jozsef Constantin Széles</w:t>
      </w:r>
      <w:r>
        <w:rPr>
          <w:rFonts w:ascii="Arial" w:hAnsi="Arial"/>
          <w:i/>
          <w:color w:val="231F20"/>
          <w:w w:val="105"/>
          <w:position w:val="5"/>
          <w:sz w:val="10"/>
        </w:rPr>
        <w:t>15 </w:t>
      </w:r>
      <w:r>
        <w:rPr>
          <w:rFonts w:ascii="Arial" w:hAnsi="Arial"/>
          <w:i/>
          <w:color w:val="231F20"/>
          <w:w w:val="105"/>
          <w:sz w:val="18"/>
        </w:rPr>
        <w:t>and Antonio </w:t>
      </w:r>
      <w:r>
        <w:rPr>
          <w:rFonts w:ascii="Arial" w:hAnsi="Arial"/>
          <w:i/>
          <w:color w:val="231F20"/>
          <w:spacing w:val="-9"/>
          <w:w w:val="105"/>
          <w:sz w:val="18"/>
        </w:rPr>
        <w:t>Šarolic´</w:t>
      </w:r>
      <w:r>
        <w:rPr>
          <w:rFonts w:ascii="Arial" w:hAnsi="Arial"/>
          <w:i/>
          <w:color w:val="231F20"/>
          <w:spacing w:val="-33"/>
          <w:w w:val="105"/>
          <w:sz w:val="18"/>
        </w:rPr>
        <w:t> </w:t>
      </w:r>
      <w:r>
        <w:rPr>
          <w:rFonts w:ascii="Arial" w:hAnsi="Arial"/>
          <w:i/>
          <w:color w:val="231F20"/>
          <w:w w:val="105"/>
          <w:position w:val="5"/>
          <w:sz w:val="10"/>
        </w:rPr>
        <w:t>11</w:t>
      </w:r>
    </w:p>
    <w:p>
      <w:pPr>
        <w:spacing w:after="0" w:line="252" w:lineRule="auto"/>
        <w:jc w:val="left"/>
        <w:rPr>
          <w:rFonts w:ascii="Arial" w:hAnsi="Arial"/>
          <w:sz w:val="10"/>
        </w:rPr>
        <w:sectPr>
          <w:footerReference w:type="default" r:id="rId5"/>
          <w:type w:val="continuous"/>
          <w:pgSz w:w="11910" w:h="15600"/>
          <w:pgMar w:footer="588" w:top="520" w:bottom="780" w:left="740" w:right="740"/>
        </w:sectPr>
      </w:pPr>
    </w:p>
    <w:p>
      <w:pPr>
        <w:pStyle w:val="BodyText"/>
        <w:ind w:left="0"/>
        <w:rPr>
          <w:rFonts w:ascii="Arial"/>
          <w:i/>
          <w:sz w:val="20"/>
        </w:rPr>
      </w:pPr>
    </w:p>
    <w:p>
      <w:pPr>
        <w:pStyle w:val="BodyText"/>
        <w:ind w:left="0"/>
        <w:rPr>
          <w:rFonts w:ascii="Arial"/>
          <w:i/>
          <w:sz w:val="20"/>
        </w:rPr>
      </w:pPr>
    </w:p>
    <w:p>
      <w:pPr>
        <w:pStyle w:val="BodyText"/>
        <w:ind w:left="0"/>
        <w:rPr>
          <w:rFonts w:ascii="Arial"/>
          <w:i/>
          <w:sz w:val="20"/>
        </w:rPr>
      </w:pPr>
    </w:p>
    <w:p>
      <w:pPr>
        <w:pStyle w:val="BodyText"/>
        <w:ind w:left="0"/>
        <w:rPr>
          <w:rFonts w:ascii="Arial"/>
          <w:i/>
          <w:sz w:val="20"/>
        </w:rPr>
      </w:pPr>
    </w:p>
    <w:p>
      <w:pPr>
        <w:pStyle w:val="BodyText"/>
        <w:spacing w:before="3" w:after="1"/>
        <w:ind w:left="0"/>
        <w:rPr>
          <w:rFonts w:ascii="Arial"/>
          <w:i/>
          <w:sz w:val="11"/>
        </w:rPr>
      </w:pPr>
    </w:p>
    <w:p>
      <w:pPr>
        <w:pStyle w:val="BodyText"/>
        <w:spacing w:line="166" w:lineRule="exact"/>
        <w:ind w:left="1001" w:right="-15"/>
        <w:rPr>
          <w:rFonts w:ascii="Arial"/>
          <w:sz w:val="16"/>
        </w:rPr>
      </w:pPr>
      <w:r>
        <w:rPr>
          <w:rFonts w:ascii="Arial"/>
          <w:position w:val="-2"/>
          <w:sz w:val="16"/>
        </w:rPr>
        <w:pict>
          <v:group style="width:71.2pt;height:7.35pt;mso-position-horizontal-relative:char;mso-position-vertical-relative:line" coordorigin="0,0" coordsize="1424,147">
            <v:shape style="position:absolute;left:0;top:0;width:574;height:147" type="#_x0000_t75" stroked="false">
              <v:imagedata r:id="rId26" o:title=""/>
            </v:shape>
            <v:shape style="position:absolute;left:634;top:0;width:790;height:147" type="#_x0000_t75" stroked="false">
              <v:imagedata r:id="rId27" o:title=""/>
            </v:shape>
          </v:group>
        </w:pict>
      </w:r>
      <w:r>
        <w:rPr>
          <w:rFonts w:ascii="Arial"/>
          <w:position w:val="-2"/>
          <w:sz w:val="16"/>
        </w:rPr>
      </w:r>
    </w:p>
    <w:p>
      <w:pPr>
        <w:pStyle w:val="BodyText"/>
        <w:spacing w:before="8"/>
        <w:ind w:left="0"/>
        <w:rPr>
          <w:rFonts w:ascii="Arial"/>
          <w:i/>
          <w:sz w:val="20"/>
        </w:rPr>
      </w:pPr>
    </w:p>
    <w:p>
      <w:pPr>
        <w:spacing w:before="0"/>
        <w:ind w:left="0" w:right="38" w:firstLine="0"/>
        <w:jc w:val="right"/>
        <w:rPr>
          <w:rFonts w:ascii="Arial"/>
          <w:i/>
          <w:sz w:val="14"/>
        </w:rPr>
      </w:pPr>
      <w:r>
        <w:rPr>
          <w:rFonts w:ascii="Arial"/>
          <w:i/>
          <w:color w:val="231F20"/>
          <w:w w:val="105"/>
          <w:sz w:val="14"/>
        </w:rPr>
        <w:t>Edited</w:t>
      </w:r>
      <w:r>
        <w:rPr>
          <w:rFonts w:ascii="Arial"/>
          <w:i/>
          <w:color w:val="231F20"/>
          <w:spacing w:val="15"/>
          <w:w w:val="105"/>
          <w:sz w:val="14"/>
        </w:rPr>
        <w:t> </w:t>
      </w:r>
      <w:r>
        <w:rPr>
          <w:rFonts w:ascii="Arial"/>
          <w:i/>
          <w:color w:val="231F20"/>
          <w:w w:val="105"/>
          <w:sz w:val="14"/>
        </w:rPr>
        <w:t>by:</w:t>
      </w:r>
    </w:p>
    <w:p>
      <w:pPr>
        <w:spacing w:line="297" w:lineRule="auto" w:before="38"/>
        <w:ind w:left="270" w:right="38" w:firstLine="1122"/>
        <w:jc w:val="right"/>
        <w:rPr>
          <w:rFonts w:ascii="Arial"/>
          <w:i/>
          <w:sz w:val="14"/>
        </w:rPr>
      </w:pPr>
      <w:r>
        <w:rPr>
          <w:rFonts w:ascii="Arial"/>
          <w:i/>
          <w:color w:val="231F20"/>
          <w:w w:val="95"/>
          <w:sz w:val="14"/>
        </w:rPr>
        <w:t>Reinhold</w:t>
      </w:r>
      <w:r>
        <w:rPr>
          <w:rFonts w:ascii="Arial"/>
          <w:i/>
          <w:color w:val="231F20"/>
          <w:spacing w:val="14"/>
          <w:w w:val="95"/>
          <w:sz w:val="14"/>
        </w:rPr>
        <w:t> </w:t>
      </w:r>
      <w:r>
        <w:rPr>
          <w:rFonts w:ascii="Arial"/>
          <w:i/>
          <w:color w:val="231F20"/>
          <w:spacing w:val="-5"/>
          <w:w w:val="95"/>
          <w:sz w:val="14"/>
        </w:rPr>
        <w:t>Scherer,</w:t>
      </w:r>
      <w:r>
        <w:rPr>
          <w:rFonts w:ascii="Arial"/>
          <w:i/>
          <w:color w:val="231F20"/>
          <w:w w:val="100"/>
          <w:sz w:val="14"/>
        </w:rPr>
        <w:t> </w:t>
      </w:r>
      <w:r>
        <w:rPr>
          <w:rFonts w:ascii="Arial"/>
          <w:i/>
          <w:color w:val="231F20"/>
          <w:sz w:val="14"/>
        </w:rPr>
        <w:t>University</w:t>
      </w:r>
      <w:r>
        <w:rPr>
          <w:rFonts w:ascii="Arial"/>
          <w:i/>
          <w:color w:val="231F20"/>
          <w:spacing w:val="-21"/>
          <w:sz w:val="14"/>
        </w:rPr>
        <w:t> </w:t>
      </w:r>
      <w:r>
        <w:rPr>
          <w:rFonts w:ascii="Arial"/>
          <w:i/>
          <w:color w:val="231F20"/>
          <w:sz w:val="14"/>
        </w:rPr>
        <w:t>of</w:t>
      </w:r>
      <w:r>
        <w:rPr>
          <w:rFonts w:ascii="Arial"/>
          <w:i/>
          <w:color w:val="231F20"/>
          <w:spacing w:val="-20"/>
          <w:sz w:val="14"/>
        </w:rPr>
        <w:t> </w:t>
      </w:r>
      <w:r>
        <w:rPr>
          <w:rFonts w:ascii="Arial"/>
          <w:i/>
          <w:color w:val="231F20"/>
          <w:sz w:val="14"/>
        </w:rPr>
        <w:t>Essex,</w:t>
      </w:r>
      <w:r>
        <w:rPr>
          <w:rFonts w:ascii="Arial"/>
          <w:i/>
          <w:color w:val="231F20"/>
          <w:spacing w:val="-20"/>
          <w:sz w:val="14"/>
        </w:rPr>
        <w:t> </w:t>
      </w:r>
      <w:r>
        <w:rPr>
          <w:rFonts w:ascii="Arial"/>
          <w:i/>
          <w:color w:val="231F20"/>
          <w:sz w:val="14"/>
        </w:rPr>
        <w:t>United</w:t>
      </w:r>
      <w:r>
        <w:rPr>
          <w:rFonts w:ascii="Arial"/>
          <w:i/>
          <w:color w:val="231F20"/>
          <w:spacing w:val="-20"/>
          <w:sz w:val="14"/>
        </w:rPr>
        <w:t> </w:t>
      </w:r>
      <w:r>
        <w:rPr>
          <w:rFonts w:ascii="Arial"/>
          <w:i/>
          <w:color w:val="231F20"/>
          <w:spacing w:val="-3"/>
          <w:sz w:val="14"/>
        </w:rPr>
        <w:t>Kingdom</w:t>
      </w:r>
    </w:p>
    <w:p>
      <w:pPr>
        <w:spacing w:before="79"/>
        <w:ind w:left="0" w:right="38" w:firstLine="0"/>
        <w:jc w:val="right"/>
        <w:rPr>
          <w:rFonts w:ascii="Arial"/>
          <w:i/>
          <w:sz w:val="14"/>
        </w:rPr>
      </w:pPr>
      <w:r>
        <w:rPr>
          <w:rFonts w:ascii="Arial"/>
          <w:i/>
          <w:color w:val="231F20"/>
          <w:w w:val="105"/>
          <w:sz w:val="14"/>
        </w:rPr>
        <w:t>Reviewed</w:t>
      </w:r>
      <w:r>
        <w:rPr>
          <w:rFonts w:ascii="Arial"/>
          <w:i/>
          <w:color w:val="231F20"/>
          <w:spacing w:val="4"/>
          <w:w w:val="105"/>
          <w:sz w:val="14"/>
        </w:rPr>
        <w:t> </w:t>
      </w:r>
      <w:r>
        <w:rPr>
          <w:rFonts w:ascii="Arial"/>
          <w:i/>
          <w:color w:val="231F20"/>
          <w:w w:val="105"/>
          <w:sz w:val="14"/>
        </w:rPr>
        <w:t>by:</w:t>
      </w:r>
    </w:p>
    <w:p>
      <w:pPr>
        <w:spacing w:line="297" w:lineRule="auto" w:before="38"/>
        <w:ind w:left="464" w:right="38" w:firstLine="1454"/>
        <w:jc w:val="right"/>
        <w:rPr>
          <w:rFonts w:ascii="Arial"/>
          <w:i/>
          <w:sz w:val="14"/>
        </w:rPr>
      </w:pPr>
      <w:r>
        <w:rPr>
          <w:rFonts w:ascii="Arial"/>
          <w:i/>
          <w:color w:val="231F20"/>
          <w:w w:val="95"/>
          <w:sz w:val="14"/>
        </w:rPr>
        <w:t>Ilknur</w:t>
      </w:r>
      <w:r>
        <w:rPr>
          <w:rFonts w:ascii="Arial"/>
          <w:i/>
          <w:color w:val="231F20"/>
          <w:spacing w:val="-6"/>
          <w:w w:val="95"/>
          <w:sz w:val="14"/>
        </w:rPr>
        <w:t> </w:t>
      </w:r>
      <w:r>
        <w:rPr>
          <w:rFonts w:ascii="Arial"/>
          <w:i/>
          <w:color w:val="231F20"/>
          <w:spacing w:val="-13"/>
          <w:w w:val="95"/>
          <w:sz w:val="14"/>
        </w:rPr>
        <w:t>Ay,</w:t>
      </w:r>
      <w:r>
        <w:rPr>
          <w:rFonts w:ascii="Arial"/>
          <w:i/>
          <w:color w:val="231F20"/>
          <w:w w:val="100"/>
          <w:sz w:val="14"/>
        </w:rPr>
        <w:t> </w:t>
      </w:r>
      <w:r>
        <w:rPr>
          <w:rFonts w:ascii="Arial"/>
          <w:i/>
          <w:color w:val="231F20"/>
          <w:w w:val="95"/>
          <w:sz w:val="14"/>
        </w:rPr>
        <w:t>Massachusetts</w:t>
      </w:r>
      <w:r>
        <w:rPr>
          <w:rFonts w:ascii="Arial"/>
          <w:i/>
          <w:color w:val="231F20"/>
          <w:spacing w:val="8"/>
          <w:w w:val="95"/>
          <w:sz w:val="14"/>
        </w:rPr>
        <w:t> </w:t>
      </w:r>
      <w:r>
        <w:rPr>
          <w:rFonts w:ascii="Arial"/>
          <w:i/>
          <w:color w:val="231F20"/>
          <w:w w:val="95"/>
          <w:sz w:val="14"/>
        </w:rPr>
        <w:t>General</w:t>
      </w:r>
      <w:r>
        <w:rPr>
          <w:rFonts w:ascii="Arial"/>
          <w:i/>
          <w:color w:val="231F20"/>
          <w:spacing w:val="9"/>
          <w:w w:val="95"/>
          <w:sz w:val="14"/>
        </w:rPr>
        <w:t> </w:t>
      </w:r>
      <w:r>
        <w:rPr>
          <w:rFonts w:ascii="Arial"/>
          <w:i/>
          <w:color w:val="231F20"/>
          <w:w w:val="95"/>
          <w:sz w:val="14"/>
        </w:rPr>
        <w:t>Hospital,</w:t>
      </w:r>
      <w:r>
        <w:rPr>
          <w:rFonts w:ascii="Arial"/>
          <w:i/>
          <w:color w:val="231F20"/>
          <w:w w:val="97"/>
          <w:sz w:val="14"/>
        </w:rPr>
        <w:t> </w:t>
      </w:r>
      <w:r>
        <w:rPr>
          <w:rFonts w:ascii="Arial"/>
          <w:i/>
          <w:color w:val="231F20"/>
          <w:sz w:val="14"/>
        </w:rPr>
        <w:t>Harvard</w:t>
      </w:r>
      <w:r>
        <w:rPr>
          <w:rFonts w:ascii="Arial"/>
          <w:i/>
          <w:color w:val="231F20"/>
          <w:spacing w:val="-22"/>
          <w:sz w:val="14"/>
        </w:rPr>
        <w:t> </w:t>
      </w:r>
      <w:r>
        <w:rPr>
          <w:rFonts w:ascii="Arial"/>
          <w:i/>
          <w:color w:val="231F20"/>
          <w:sz w:val="14"/>
        </w:rPr>
        <w:t>Medical</w:t>
      </w:r>
      <w:r>
        <w:rPr>
          <w:rFonts w:ascii="Arial"/>
          <w:i/>
          <w:color w:val="231F20"/>
          <w:spacing w:val="-21"/>
          <w:sz w:val="14"/>
        </w:rPr>
        <w:t> </w:t>
      </w:r>
      <w:r>
        <w:rPr>
          <w:rFonts w:ascii="Arial"/>
          <w:i/>
          <w:color w:val="231F20"/>
          <w:sz w:val="14"/>
        </w:rPr>
        <w:t>School,</w:t>
      </w:r>
    </w:p>
    <w:p>
      <w:pPr>
        <w:spacing w:line="297" w:lineRule="auto" w:before="0"/>
        <w:ind w:left="1486" w:right="38" w:firstLine="148"/>
        <w:jc w:val="right"/>
        <w:rPr>
          <w:rFonts w:ascii="Arial"/>
          <w:i/>
          <w:sz w:val="14"/>
        </w:rPr>
      </w:pPr>
      <w:r>
        <w:rPr>
          <w:rFonts w:ascii="Arial"/>
          <w:i/>
          <w:color w:val="231F20"/>
          <w:sz w:val="14"/>
        </w:rPr>
        <w:t>United</w:t>
      </w:r>
      <w:r>
        <w:rPr>
          <w:rFonts w:ascii="Arial"/>
          <w:i/>
          <w:color w:val="231F20"/>
          <w:spacing w:val="-24"/>
          <w:sz w:val="14"/>
        </w:rPr>
        <w:t> </w:t>
      </w:r>
      <w:r>
        <w:rPr>
          <w:rFonts w:ascii="Arial"/>
          <w:i/>
          <w:color w:val="231F20"/>
          <w:spacing w:val="-3"/>
          <w:sz w:val="14"/>
        </w:rPr>
        <w:t>States</w:t>
      </w:r>
      <w:r>
        <w:rPr>
          <w:rFonts w:ascii="Arial"/>
          <w:i/>
          <w:color w:val="231F20"/>
          <w:w w:val="96"/>
          <w:sz w:val="14"/>
        </w:rPr>
        <w:t> </w:t>
      </w:r>
      <w:r>
        <w:rPr>
          <w:rFonts w:ascii="Arial"/>
          <w:i/>
          <w:color w:val="231F20"/>
          <w:w w:val="95"/>
          <w:sz w:val="14"/>
        </w:rPr>
        <w:t>Vitaly</w:t>
      </w:r>
      <w:r>
        <w:rPr>
          <w:rFonts w:ascii="Arial"/>
          <w:i/>
          <w:color w:val="231F20"/>
          <w:spacing w:val="23"/>
          <w:w w:val="95"/>
          <w:sz w:val="14"/>
        </w:rPr>
        <w:t> </w:t>
      </w:r>
      <w:r>
        <w:rPr>
          <w:rFonts w:ascii="Arial"/>
          <w:i/>
          <w:color w:val="231F20"/>
          <w:spacing w:val="-5"/>
          <w:w w:val="95"/>
          <w:sz w:val="14"/>
        </w:rPr>
        <w:t>Napadow,</w:t>
      </w:r>
    </w:p>
    <w:p>
      <w:pPr>
        <w:spacing w:line="160" w:lineRule="exact" w:before="0"/>
        <w:ind w:left="967" w:right="0" w:firstLine="0"/>
        <w:jc w:val="left"/>
        <w:rPr>
          <w:rFonts w:ascii="Arial"/>
          <w:i/>
          <w:sz w:val="14"/>
        </w:rPr>
      </w:pPr>
      <w:r>
        <w:rPr>
          <w:rFonts w:ascii="Arial"/>
          <w:i/>
          <w:color w:val="231F20"/>
          <w:sz w:val="14"/>
        </w:rPr>
        <w:t>Harvard</w:t>
      </w:r>
      <w:r>
        <w:rPr>
          <w:rFonts w:ascii="Arial"/>
          <w:i/>
          <w:color w:val="231F20"/>
          <w:spacing w:val="-22"/>
          <w:sz w:val="14"/>
        </w:rPr>
        <w:t> </w:t>
      </w:r>
      <w:r>
        <w:rPr>
          <w:rFonts w:ascii="Arial"/>
          <w:i/>
          <w:color w:val="231F20"/>
          <w:sz w:val="14"/>
        </w:rPr>
        <w:t>Medical</w:t>
      </w:r>
      <w:r>
        <w:rPr>
          <w:rFonts w:ascii="Arial"/>
          <w:i/>
          <w:color w:val="231F20"/>
          <w:spacing w:val="-21"/>
          <w:sz w:val="14"/>
        </w:rPr>
        <w:t> </w:t>
      </w:r>
      <w:r>
        <w:rPr>
          <w:rFonts w:ascii="Arial"/>
          <w:i/>
          <w:color w:val="231F20"/>
          <w:sz w:val="14"/>
        </w:rPr>
        <w:t>School,</w:t>
      </w:r>
    </w:p>
    <w:p>
      <w:pPr>
        <w:spacing w:before="38"/>
        <w:ind w:left="0" w:right="38" w:firstLine="0"/>
        <w:jc w:val="right"/>
        <w:rPr>
          <w:rFonts w:ascii="Arial"/>
          <w:i/>
          <w:sz w:val="14"/>
        </w:rPr>
      </w:pPr>
      <w:r>
        <w:rPr>
          <w:rFonts w:ascii="Arial"/>
          <w:i/>
          <w:color w:val="231F20"/>
          <w:sz w:val="14"/>
        </w:rPr>
        <w:t>United</w:t>
      </w:r>
      <w:r>
        <w:rPr>
          <w:rFonts w:ascii="Arial"/>
          <w:i/>
          <w:color w:val="231F20"/>
          <w:spacing w:val="-24"/>
          <w:sz w:val="14"/>
        </w:rPr>
        <w:t> </w:t>
      </w:r>
      <w:r>
        <w:rPr>
          <w:rFonts w:ascii="Arial"/>
          <w:i/>
          <w:color w:val="231F20"/>
          <w:sz w:val="14"/>
        </w:rPr>
        <w:t>States</w:t>
      </w:r>
    </w:p>
    <w:p>
      <w:pPr>
        <w:spacing w:line="297" w:lineRule="auto" w:before="118"/>
        <w:ind w:left="1086" w:right="38" w:firstLine="156"/>
        <w:jc w:val="right"/>
        <w:rPr>
          <w:rFonts w:ascii="Arial"/>
          <w:i/>
          <w:sz w:val="14"/>
        </w:rPr>
      </w:pPr>
      <w:r>
        <w:rPr>
          <w:rFonts w:ascii="Arial"/>
          <w:i/>
          <w:color w:val="231F20"/>
          <w:sz w:val="14"/>
        </w:rPr>
        <w:t>*Correspondence: </w:t>
      </w:r>
      <w:r>
        <w:rPr>
          <w:rFonts w:ascii="Arial"/>
          <w:i/>
          <w:color w:val="231F20"/>
          <w:w w:val="95"/>
          <w:sz w:val="14"/>
        </w:rPr>
        <w:t>Eugenijus</w:t>
      </w:r>
      <w:r>
        <w:rPr>
          <w:rFonts w:ascii="Arial"/>
          <w:i/>
          <w:color w:val="231F20"/>
          <w:spacing w:val="-7"/>
          <w:w w:val="95"/>
          <w:sz w:val="14"/>
        </w:rPr>
        <w:t> </w:t>
      </w:r>
      <w:r>
        <w:rPr>
          <w:rFonts w:ascii="Arial"/>
          <w:i/>
          <w:color w:val="231F20"/>
          <w:w w:val="95"/>
          <w:sz w:val="14"/>
        </w:rPr>
        <w:t>Kaniusas</w:t>
      </w:r>
      <w:r>
        <w:rPr>
          <w:rFonts w:ascii="Arial"/>
          <w:i/>
          <w:color w:val="231F20"/>
          <w:w w:val="94"/>
          <w:sz w:val="14"/>
        </w:rPr>
        <w:t> </w:t>
      </w:r>
      <w:hyperlink r:id="rId28">
        <w:r>
          <w:rPr>
            <w:rFonts w:ascii="Arial"/>
            <w:i/>
            <w:color w:val="231F20"/>
            <w:spacing w:val="-1"/>
            <w:w w:val="95"/>
            <w:sz w:val="14"/>
          </w:rPr>
          <w:t>kaniusas@tuwien.ac.at</w:t>
        </w:r>
      </w:hyperlink>
    </w:p>
    <w:p>
      <w:pPr>
        <w:pStyle w:val="BodyText"/>
        <w:spacing w:before="9"/>
        <w:ind w:left="0"/>
        <w:rPr>
          <w:rFonts w:ascii="Arial"/>
          <w:i/>
        </w:rPr>
      </w:pPr>
    </w:p>
    <w:p>
      <w:pPr>
        <w:spacing w:before="0"/>
        <w:ind w:left="0" w:right="38" w:firstLine="0"/>
        <w:jc w:val="right"/>
        <w:rPr>
          <w:rFonts w:ascii="Arial"/>
          <w:i/>
          <w:sz w:val="14"/>
        </w:rPr>
      </w:pPr>
      <w:r>
        <w:rPr>
          <w:rFonts w:ascii="Arial"/>
          <w:i/>
          <w:color w:val="231F20"/>
          <w:w w:val="110"/>
          <w:sz w:val="14"/>
        </w:rPr>
        <w:t>Specialty</w:t>
      </w:r>
      <w:r>
        <w:rPr>
          <w:rFonts w:ascii="Arial"/>
          <w:i/>
          <w:color w:val="231F20"/>
          <w:spacing w:val="-22"/>
          <w:w w:val="110"/>
          <w:sz w:val="14"/>
        </w:rPr>
        <w:t> </w:t>
      </w:r>
      <w:r>
        <w:rPr>
          <w:rFonts w:ascii="Arial"/>
          <w:i/>
          <w:color w:val="231F20"/>
          <w:w w:val="110"/>
          <w:sz w:val="14"/>
        </w:rPr>
        <w:t>section:</w:t>
      </w:r>
    </w:p>
    <w:p>
      <w:pPr>
        <w:spacing w:before="38"/>
        <w:ind w:left="0" w:right="38" w:firstLine="0"/>
        <w:jc w:val="right"/>
        <w:rPr>
          <w:rFonts w:ascii="Arial"/>
          <w:i/>
          <w:sz w:val="14"/>
        </w:rPr>
      </w:pPr>
      <w:r>
        <w:rPr>
          <w:rFonts w:ascii="Arial"/>
          <w:i/>
          <w:color w:val="231F20"/>
          <w:sz w:val="14"/>
        </w:rPr>
        <w:t>This</w:t>
      </w:r>
      <w:r>
        <w:rPr>
          <w:rFonts w:ascii="Arial"/>
          <w:i/>
          <w:color w:val="231F20"/>
          <w:spacing w:val="-12"/>
          <w:sz w:val="14"/>
        </w:rPr>
        <w:t> </w:t>
      </w:r>
      <w:r>
        <w:rPr>
          <w:rFonts w:ascii="Arial"/>
          <w:i/>
          <w:color w:val="231F20"/>
          <w:sz w:val="14"/>
        </w:rPr>
        <w:t>article</w:t>
      </w:r>
      <w:r>
        <w:rPr>
          <w:rFonts w:ascii="Arial"/>
          <w:i/>
          <w:color w:val="231F20"/>
          <w:spacing w:val="-11"/>
          <w:sz w:val="14"/>
        </w:rPr>
        <w:t> </w:t>
      </w:r>
      <w:r>
        <w:rPr>
          <w:rFonts w:ascii="Arial"/>
          <w:i/>
          <w:color w:val="231F20"/>
          <w:sz w:val="14"/>
        </w:rPr>
        <w:t>was</w:t>
      </w:r>
      <w:r>
        <w:rPr>
          <w:rFonts w:ascii="Arial"/>
          <w:i/>
          <w:color w:val="231F20"/>
          <w:spacing w:val="-11"/>
          <w:sz w:val="14"/>
        </w:rPr>
        <w:t> </w:t>
      </w:r>
      <w:r>
        <w:rPr>
          <w:rFonts w:ascii="Arial"/>
          <w:i/>
          <w:color w:val="231F20"/>
          <w:sz w:val="14"/>
        </w:rPr>
        <w:t>submitted</w:t>
      </w:r>
      <w:r>
        <w:rPr>
          <w:rFonts w:ascii="Arial"/>
          <w:i/>
          <w:color w:val="231F20"/>
          <w:spacing w:val="-11"/>
          <w:sz w:val="14"/>
        </w:rPr>
        <w:t> </w:t>
      </w:r>
      <w:r>
        <w:rPr>
          <w:rFonts w:ascii="Arial"/>
          <w:i/>
          <w:color w:val="231F20"/>
          <w:sz w:val="14"/>
        </w:rPr>
        <w:t>to</w:t>
      </w:r>
    </w:p>
    <w:p>
      <w:pPr>
        <w:spacing w:line="297" w:lineRule="auto" w:before="39"/>
        <w:ind w:left="920" w:right="38" w:firstLine="456"/>
        <w:jc w:val="right"/>
        <w:rPr>
          <w:rFonts w:ascii="Arial"/>
          <w:i/>
          <w:sz w:val="14"/>
        </w:rPr>
      </w:pPr>
      <w:r>
        <w:rPr>
          <w:rFonts w:ascii="Arial"/>
          <w:i/>
          <w:color w:val="231F20"/>
          <w:w w:val="95"/>
          <w:sz w:val="14"/>
        </w:rPr>
        <w:t>Neuroprosthetics, </w:t>
      </w:r>
      <w:r>
        <w:rPr>
          <w:rFonts w:ascii="Arial"/>
          <w:i/>
          <w:color w:val="231F20"/>
          <w:sz w:val="14"/>
        </w:rPr>
        <w:t>a</w:t>
      </w:r>
      <w:r>
        <w:rPr>
          <w:rFonts w:ascii="Arial"/>
          <w:i/>
          <w:color w:val="231F20"/>
          <w:spacing w:val="-12"/>
          <w:sz w:val="14"/>
        </w:rPr>
        <w:t> </w:t>
      </w:r>
      <w:r>
        <w:rPr>
          <w:rFonts w:ascii="Arial"/>
          <w:i/>
          <w:color w:val="231F20"/>
          <w:sz w:val="14"/>
        </w:rPr>
        <w:t>section</w:t>
      </w:r>
      <w:r>
        <w:rPr>
          <w:rFonts w:ascii="Arial"/>
          <w:i/>
          <w:color w:val="231F20"/>
          <w:spacing w:val="-12"/>
          <w:sz w:val="14"/>
        </w:rPr>
        <w:t> </w:t>
      </w:r>
      <w:r>
        <w:rPr>
          <w:rFonts w:ascii="Arial"/>
          <w:i/>
          <w:color w:val="231F20"/>
          <w:sz w:val="14"/>
        </w:rPr>
        <w:t>of</w:t>
      </w:r>
      <w:r>
        <w:rPr>
          <w:rFonts w:ascii="Arial"/>
          <w:i/>
          <w:color w:val="231F20"/>
          <w:spacing w:val="-12"/>
          <w:sz w:val="14"/>
        </w:rPr>
        <w:t> </w:t>
      </w:r>
      <w:r>
        <w:rPr>
          <w:rFonts w:ascii="Arial"/>
          <w:i/>
          <w:color w:val="231F20"/>
          <w:sz w:val="14"/>
        </w:rPr>
        <w:t>the</w:t>
      </w:r>
      <w:r>
        <w:rPr>
          <w:rFonts w:ascii="Arial"/>
          <w:i/>
          <w:color w:val="231F20"/>
          <w:spacing w:val="-12"/>
          <w:sz w:val="14"/>
        </w:rPr>
        <w:t> </w:t>
      </w:r>
      <w:r>
        <w:rPr>
          <w:rFonts w:ascii="Arial"/>
          <w:i/>
          <w:color w:val="231F20"/>
          <w:sz w:val="14"/>
        </w:rPr>
        <w:t>journal</w:t>
      </w:r>
      <w:r>
        <w:rPr>
          <w:rFonts w:ascii="Arial"/>
          <w:i/>
          <w:color w:val="231F20"/>
          <w:w w:val="94"/>
          <w:sz w:val="14"/>
        </w:rPr>
        <w:t> </w:t>
      </w:r>
      <w:r>
        <w:rPr>
          <w:rFonts w:ascii="Arial"/>
          <w:i/>
          <w:color w:val="231F20"/>
          <w:w w:val="95"/>
          <w:sz w:val="14"/>
        </w:rPr>
        <w:t>Frontiers in</w:t>
      </w:r>
      <w:r>
        <w:rPr>
          <w:rFonts w:ascii="Arial"/>
          <w:i/>
          <w:color w:val="231F20"/>
          <w:spacing w:val="21"/>
          <w:w w:val="95"/>
          <w:sz w:val="14"/>
        </w:rPr>
        <w:t> </w:t>
      </w:r>
      <w:r>
        <w:rPr>
          <w:rFonts w:ascii="Arial"/>
          <w:i/>
          <w:color w:val="231F20"/>
          <w:spacing w:val="-2"/>
          <w:w w:val="95"/>
          <w:sz w:val="14"/>
        </w:rPr>
        <w:t>Neuroscience</w:t>
      </w:r>
    </w:p>
    <w:p>
      <w:pPr>
        <w:spacing w:before="78"/>
        <w:ind w:left="949" w:right="0" w:firstLine="0"/>
        <w:jc w:val="left"/>
        <w:rPr>
          <w:rFonts w:ascii="Arial"/>
          <w:i/>
          <w:sz w:val="14"/>
        </w:rPr>
      </w:pPr>
      <w:r>
        <w:rPr>
          <w:rFonts w:ascii="Arial"/>
          <w:i/>
          <w:color w:val="231F20"/>
          <w:sz w:val="14"/>
        </w:rPr>
        <w:t>Received: 08 April</w:t>
      </w:r>
      <w:r>
        <w:rPr>
          <w:rFonts w:ascii="Arial"/>
          <w:i/>
          <w:color w:val="231F20"/>
          <w:spacing w:val="15"/>
          <w:sz w:val="14"/>
        </w:rPr>
        <w:t> </w:t>
      </w:r>
      <w:r>
        <w:rPr>
          <w:rFonts w:ascii="Arial"/>
          <w:i/>
          <w:color w:val="231F20"/>
          <w:sz w:val="14"/>
        </w:rPr>
        <w:t>2019</w:t>
      </w:r>
    </w:p>
    <w:p>
      <w:pPr>
        <w:spacing w:before="39"/>
        <w:ind w:left="957" w:right="0" w:firstLine="0"/>
        <w:jc w:val="left"/>
        <w:rPr>
          <w:rFonts w:ascii="Arial"/>
          <w:i/>
          <w:sz w:val="14"/>
        </w:rPr>
      </w:pPr>
      <w:r>
        <w:rPr>
          <w:rFonts w:ascii="Arial"/>
          <w:i/>
          <w:color w:val="231F20"/>
          <w:w w:val="105"/>
          <w:sz w:val="14"/>
        </w:rPr>
        <w:t>Accepted:</w:t>
      </w:r>
      <w:r>
        <w:rPr>
          <w:rFonts w:ascii="Arial"/>
          <w:i/>
          <w:color w:val="231F20"/>
          <w:spacing w:val="-12"/>
          <w:w w:val="105"/>
          <w:sz w:val="14"/>
        </w:rPr>
        <w:t> </w:t>
      </w:r>
      <w:r>
        <w:rPr>
          <w:rFonts w:ascii="Arial"/>
          <w:i/>
          <w:color w:val="231F20"/>
          <w:w w:val="105"/>
          <w:sz w:val="14"/>
        </w:rPr>
        <w:t>09</w:t>
      </w:r>
      <w:r>
        <w:rPr>
          <w:rFonts w:ascii="Arial"/>
          <w:i/>
          <w:color w:val="231F20"/>
          <w:spacing w:val="-11"/>
          <w:w w:val="105"/>
          <w:sz w:val="14"/>
        </w:rPr>
        <w:t> </w:t>
      </w:r>
      <w:r>
        <w:rPr>
          <w:rFonts w:ascii="Arial"/>
          <w:i/>
          <w:color w:val="231F20"/>
          <w:w w:val="105"/>
          <w:sz w:val="14"/>
        </w:rPr>
        <w:t>July</w:t>
      </w:r>
      <w:r>
        <w:rPr>
          <w:rFonts w:ascii="Arial"/>
          <w:i/>
          <w:color w:val="231F20"/>
          <w:spacing w:val="-12"/>
          <w:w w:val="105"/>
          <w:sz w:val="14"/>
        </w:rPr>
        <w:t> </w:t>
      </w:r>
      <w:r>
        <w:rPr>
          <w:rFonts w:ascii="Arial"/>
          <w:i/>
          <w:color w:val="231F20"/>
          <w:w w:val="105"/>
          <w:sz w:val="14"/>
        </w:rPr>
        <w:t>2019</w:t>
      </w:r>
    </w:p>
    <w:p>
      <w:pPr>
        <w:spacing w:before="38"/>
        <w:ind w:left="931" w:right="0" w:firstLine="0"/>
        <w:jc w:val="left"/>
        <w:rPr>
          <w:rFonts w:ascii="Arial"/>
          <w:i/>
          <w:sz w:val="14"/>
        </w:rPr>
      </w:pPr>
      <w:r>
        <w:rPr>
          <w:rFonts w:ascii="Arial"/>
          <w:i/>
          <w:color w:val="231F20"/>
          <w:w w:val="105"/>
          <w:sz w:val="14"/>
        </w:rPr>
        <w:t>Published:</w:t>
      </w:r>
      <w:r>
        <w:rPr>
          <w:rFonts w:ascii="Arial"/>
          <w:i/>
          <w:color w:val="231F20"/>
          <w:spacing w:val="-14"/>
          <w:w w:val="105"/>
          <w:sz w:val="14"/>
        </w:rPr>
        <w:t> </w:t>
      </w:r>
      <w:r>
        <w:rPr>
          <w:rFonts w:ascii="Arial"/>
          <w:i/>
          <w:color w:val="231F20"/>
          <w:w w:val="105"/>
          <w:sz w:val="14"/>
        </w:rPr>
        <w:t>24</w:t>
      </w:r>
      <w:r>
        <w:rPr>
          <w:rFonts w:ascii="Arial"/>
          <w:i/>
          <w:color w:val="231F20"/>
          <w:spacing w:val="-14"/>
          <w:w w:val="105"/>
          <w:sz w:val="14"/>
        </w:rPr>
        <w:t> </w:t>
      </w:r>
      <w:r>
        <w:rPr>
          <w:rFonts w:ascii="Arial"/>
          <w:i/>
          <w:color w:val="231F20"/>
          <w:w w:val="105"/>
          <w:sz w:val="14"/>
        </w:rPr>
        <w:t>July</w:t>
      </w:r>
      <w:r>
        <w:rPr>
          <w:rFonts w:ascii="Arial"/>
          <w:i/>
          <w:color w:val="231F20"/>
          <w:spacing w:val="-14"/>
          <w:w w:val="105"/>
          <w:sz w:val="14"/>
        </w:rPr>
        <w:t> </w:t>
      </w:r>
      <w:r>
        <w:rPr>
          <w:rFonts w:ascii="Arial"/>
          <w:i/>
          <w:color w:val="231F20"/>
          <w:w w:val="105"/>
          <w:sz w:val="14"/>
        </w:rPr>
        <w:t>2019</w:t>
      </w:r>
    </w:p>
    <w:p>
      <w:pPr>
        <w:spacing w:line="297" w:lineRule="auto" w:before="118"/>
        <w:ind w:left="173" w:right="38" w:firstLine="1709"/>
        <w:jc w:val="right"/>
        <w:rPr>
          <w:rFonts w:ascii="Arial" w:hAnsi="Arial"/>
          <w:i/>
          <w:sz w:val="14"/>
        </w:rPr>
      </w:pPr>
      <w:r>
        <w:rPr>
          <w:rFonts w:ascii="Arial" w:hAnsi="Arial"/>
          <w:i/>
          <w:color w:val="231F20"/>
          <w:sz w:val="14"/>
        </w:rPr>
        <w:t>Citation: </w:t>
      </w:r>
      <w:r>
        <w:rPr>
          <w:rFonts w:ascii="Arial" w:hAnsi="Arial"/>
          <w:i/>
          <w:color w:val="231F20"/>
          <w:sz w:val="14"/>
        </w:rPr>
        <w:t>Kaniusas</w:t>
      </w:r>
      <w:r>
        <w:rPr>
          <w:rFonts w:ascii="Arial" w:hAnsi="Arial"/>
          <w:i/>
          <w:color w:val="231F20"/>
          <w:spacing w:val="-20"/>
          <w:sz w:val="14"/>
        </w:rPr>
        <w:t> </w:t>
      </w:r>
      <w:r>
        <w:rPr>
          <w:rFonts w:ascii="Arial" w:hAnsi="Arial"/>
          <w:i/>
          <w:color w:val="231F20"/>
          <w:sz w:val="14"/>
        </w:rPr>
        <w:t>E,</w:t>
      </w:r>
      <w:r>
        <w:rPr>
          <w:rFonts w:ascii="Arial" w:hAnsi="Arial"/>
          <w:i/>
          <w:color w:val="231F20"/>
          <w:spacing w:val="-19"/>
          <w:sz w:val="14"/>
        </w:rPr>
        <w:t> </w:t>
      </w:r>
      <w:r>
        <w:rPr>
          <w:rFonts w:ascii="Arial" w:hAnsi="Arial"/>
          <w:i/>
          <w:color w:val="231F20"/>
          <w:sz w:val="14"/>
        </w:rPr>
        <w:t>Kampusch</w:t>
      </w:r>
      <w:r>
        <w:rPr>
          <w:rFonts w:ascii="Arial" w:hAnsi="Arial"/>
          <w:i/>
          <w:color w:val="231F20"/>
          <w:spacing w:val="-19"/>
          <w:sz w:val="14"/>
        </w:rPr>
        <w:t> </w:t>
      </w:r>
      <w:r>
        <w:rPr>
          <w:rFonts w:ascii="Arial" w:hAnsi="Arial"/>
          <w:i/>
          <w:color w:val="231F20"/>
          <w:sz w:val="14"/>
        </w:rPr>
        <w:t>S,</w:t>
      </w:r>
      <w:r>
        <w:rPr>
          <w:rFonts w:ascii="Arial" w:hAnsi="Arial"/>
          <w:i/>
          <w:color w:val="231F20"/>
          <w:w w:val="96"/>
          <w:sz w:val="14"/>
        </w:rPr>
        <w:t> </w:t>
      </w:r>
      <w:r>
        <w:rPr>
          <w:rFonts w:ascii="Arial" w:hAnsi="Arial"/>
          <w:i/>
          <w:color w:val="231F20"/>
          <w:sz w:val="14"/>
        </w:rPr>
        <w:t>Tittgemeyer</w:t>
      </w:r>
      <w:r>
        <w:rPr>
          <w:rFonts w:ascii="Arial" w:hAnsi="Arial"/>
          <w:i/>
          <w:color w:val="231F20"/>
          <w:spacing w:val="-20"/>
          <w:sz w:val="14"/>
        </w:rPr>
        <w:t> </w:t>
      </w:r>
      <w:r>
        <w:rPr>
          <w:rFonts w:ascii="Arial" w:hAnsi="Arial"/>
          <w:i/>
          <w:color w:val="231F20"/>
          <w:sz w:val="14"/>
        </w:rPr>
        <w:t>M,</w:t>
      </w:r>
      <w:r>
        <w:rPr>
          <w:rFonts w:ascii="Arial" w:hAnsi="Arial"/>
          <w:i/>
          <w:color w:val="231F20"/>
          <w:spacing w:val="-20"/>
          <w:sz w:val="14"/>
        </w:rPr>
        <w:t> </w:t>
      </w:r>
      <w:r>
        <w:rPr>
          <w:rFonts w:ascii="Arial" w:hAnsi="Arial"/>
          <w:i/>
          <w:color w:val="231F20"/>
          <w:sz w:val="14"/>
        </w:rPr>
        <w:t>Panetsos</w:t>
      </w:r>
      <w:r>
        <w:rPr>
          <w:rFonts w:ascii="Arial" w:hAnsi="Arial"/>
          <w:i/>
          <w:color w:val="231F20"/>
          <w:spacing w:val="-20"/>
          <w:sz w:val="14"/>
        </w:rPr>
        <w:t> </w:t>
      </w:r>
      <w:r>
        <w:rPr>
          <w:rFonts w:ascii="Arial" w:hAnsi="Arial"/>
          <w:i/>
          <w:color w:val="231F20"/>
          <w:spacing w:val="-10"/>
          <w:sz w:val="14"/>
        </w:rPr>
        <w:t>F,</w:t>
      </w:r>
      <w:r>
        <w:rPr>
          <w:rFonts w:ascii="Arial" w:hAnsi="Arial"/>
          <w:i/>
          <w:color w:val="231F20"/>
          <w:spacing w:val="-20"/>
          <w:sz w:val="14"/>
        </w:rPr>
        <w:t> </w:t>
      </w:r>
      <w:r>
        <w:rPr>
          <w:rFonts w:ascii="Arial" w:hAnsi="Arial"/>
          <w:i/>
          <w:color w:val="231F20"/>
          <w:sz w:val="14"/>
        </w:rPr>
        <w:t>Gines</w:t>
      </w:r>
      <w:r>
        <w:rPr>
          <w:rFonts w:ascii="Arial" w:hAnsi="Arial"/>
          <w:i/>
          <w:color w:val="231F20"/>
          <w:spacing w:val="-20"/>
          <w:sz w:val="14"/>
        </w:rPr>
        <w:t> </w:t>
      </w:r>
      <w:r>
        <w:rPr>
          <w:rFonts w:ascii="Arial" w:hAnsi="Arial"/>
          <w:i/>
          <w:color w:val="231F20"/>
          <w:spacing w:val="-7"/>
          <w:sz w:val="14"/>
        </w:rPr>
        <w:t>RF,</w:t>
      </w:r>
      <w:r>
        <w:rPr>
          <w:rFonts w:ascii="Arial" w:hAnsi="Arial"/>
          <w:i/>
          <w:color w:val="231F20"/>
          <w:w w:val="100"/>
          <w:sz w:val="14"/>
        </w:rPr>
        <w:t> </w:t>
      </w:r>
      <w:r>
        <w:rPr>
          <w:rFonts w:ascii="Arial" w:hAnsi="Arial"/>
          <w:i/>
          <w:color w:val="231F20"/>
          <w:sz w:val="14"/>
        </w:rPr>
        <w:t>Papa</w:t>
      </w:r>
      <w:r>
        <w:rPr>
          <w:rFonts w:ascii="Arial" w:hAnsi="Arial"/>
          <w:i/>
          <w:color w:val="231F20"/>
          <w:spacing w:val="-10"/>
          <w:sz w:val="14"/>
        </w:rPr>
        <w:t> </w:t>
      </w:r>
      <w:r>
        <w:rPr>
          <w:rFonts w:ascii="Arial" w:hAnsi="Arial"/>
          <w:i/>
          <w:color w:val="231F20"/>
          <w:sz w:val="14"/>
        </w:rPr>
        <w:t>M,</w:t>
      </w:r>
      <w:r>
        <w:rPr>
          <w:rFonts w:ascii="Arial" w:hAnsi="Arial"/>
          <w:i/>
          <w:color w:val="231F20"/>
          <w:spacing w:val="-10"/>
          <w:sz w:val="14"/>
        </w:rPr>
        <w:t> </w:t>
      </w:r>
      <w:r>
        <w:rPr>
          <w:rFonts w:ascii="Arial" w:hAnsi="Arial"/>
          <w:i/>
          <w:color w:val="231F20"/>
          <w:sz w:val="14"/>
        </w:rPr>
        <w:t>Kiss</w:t>
      </w:r>
      <w:r>
        <w:rPr>
          <w:rFonts w:ascii="Arial" w:hAnsi="Arial"/>
          <w:i/>
          <w:color w:val="231F20"/>
          <w:spacing w:val="-10"/>
          <w:sz w:val="14"/>
        </w:rPr>
        <w:t> </w:t>
      </w:r>
      <w:r>
        <w:rPr>
          <w:rFonts w:ascii="Arial" w:hAnsi="Arial"/>
          <w:i/>
          <w:color w:val="231F20"/>
          <w:sz w:val="14"/>
        </w:rPr>
        <w:t>A,</w:t>
      </w:r>
      <w:r>
        <w:rPr>
          <w:rFonts w:ascii="Arial" w:hAnsi="Arial"/>
          <w:i/>
          <w:color w:val="231F20"/>
          <w:spacing w:val="-10"/>
          <w:sz w:val="14"/>
        </w:rPr>
        <w:t> </w:t>
      </w:r>
      <w:r>
        <w:rPr>
          <w:rFonts w:ascii="Arial" w:hAnsi="Arial"/>
          <w:i/>
          <w:color w:val="231F20"/>
          <w:sz w:val="14"/>
        </w:rPr>
        <w:t>Podesser</w:t>
      </w:r>
      <w:r>
        <w:rPr>
          <w:rFonts w:ascii="Arial" w:hAnsi="Arial"/>
          <w:i/>
          <w:color w:val="231F20"/>
          <w:spacing w:val="-10"/>
          <w:sz w:val="14"/>
        </w:rPr>
        <w:t> </w:t>
      </w:r>
      <w:r>
        <w:rPr>
          <w:rFonts w:ascii="Arial" w:hAnsi="Arial"/>
          <w:i/>
          <w:color w:val="231F20"/>
          <w:sz w:val="14"/>
        </w:rPr>
        <w:t>B,</w:t>
      </w:r>
      <w:r>
        <w:rPr>
          <w:rFonts w:ascii="Arial" w:hAnsi="Arial"/>
          <w:i/>
          <w:color w:val="231F20"/>
          <w:w w:val="100"/>
          <w:sz w:val="14"/>
        </w:rPr>
        <w:t> </w:t>
      </w:r>
      <w:r>
        <w:rPr>
          <w:rFonts w:ascii="Arial" w:hAnsi="Arial"/>
          <w:i/>
          <w:color w:val="231F20"/>
          <w:w w:val="95"/>
          <w:sz w:val="14"/>
        </w:rPr>
        <w:t> </w:t>
      </w:r>
      <w:r>
        <w:rPr>
          <w:rFonts w:ascii="Arial" w:hAnsi="Arial"/>
          <w:i/>
          <w:color w:val="231F20"/>
          <w:sz w:val="14"/>
        </w:rPr>
        <w:t>Cassara</w:t>
      </w:r>
      <w:r>
        <w:rPr>
          <w:rFonts w:ascii="Arial" w:hAnsi="Arial"/>
          <w:i/>
          <w:color w:val="231F20"/>
          <w:spacing w:val="-16"/>
          <w:sz w:val="14"/>
        </w:rPr>
        <w:t> </w:t>
      </w:r>
      <w:r>
        <w:rPr>
          <w:rFonts w:ascii="Arial" w:hAnsi="Arial"/>
          <w:i/>
          <w:color w:val="231F20"/>
          <w:sz w:val="14"/>
        </w:rPr>
        <w:t>AM,</w:t>
      </w:r>
      <w:r>
        <w:rPr>
          <w:rFonts w:ascii="Arial" w:hAnsi="Arial"/>
          <w:i/>
          <w:color w:val="231F20"/>
          <w:spacing w:val="-15"/>
          <w:sz w:val="14"/>
        </w:rPr>
        <w:t> </w:t>
      </w:r>
      <w:r>
        <w:rPr>
          <w:rFonts w:ascii="Arial" w:hAnsi="Arial"/>
          <w:i/>
          <w:color w:val="231F20"/>
          <w:spacing w:val="-3"/>
          <w:sz w:val="14"/>
        </w:rPr>
        <w:t>Tanghe</w:t>
      </w:r>
      <w:r>
        <w:rPr>
          <w:rFonts w:ascii="Arial" w:hAnsi="Arial"/>
          <w:i/>
          <w:color w:val="231F20"/>
          <w:spacing w:val="-16"/>
          <w:sz w:val="14"/>
        </w:rPr>
        <w:t> </w:t>
      </w:r>
      <w:r>
        <w:rPr>
          <w:rFonts w:ascii="Arial" w:hAnsi="Arial"/>
          <w:i/>
          <w:color w:val="231F20"/>
          <w:sz w:val="14"/>
        </w:rPr>
        <w:t>E,</w:t>
      </w:r>
      <w:r>
        <w:rPr>
          <w:rFonts w:ascii="Arial" w:hAnsi="Arial"/>
          <w:i/>
          <w:color w:val="231F20"/>
          <w:spacing w:val="-15"/>
          <w:sz w:val="14"/>
        </w:rPr>
        <w:t> </w:t>
      </w:r>
      <w:r>
        <w:rPr>
          <w:rFonts w:ascii="Arial" w:hAnsi="Arial"/>
          <w:i/>
          <w:color w:val="231F20"/>
          <w:sz w:val="14"/>
        </w:rPr>
        <w:t>Samoudi</w:t>
      </w:r>
      <w:r>
        <w:rPr>
          <w:rFonts w:ascii="Arial" w:hAnsi="Arial"/>
          <w:i/>
          <w:color w:val="231F20"/>
          <w:spacing w:val="-16"/>
          <w:sz w:val="14"/>
        </w:rPr>
        <w:t> </w:t>
      </w:r>
      <w:r>
        <w:rPr>
          <w:rFonts w:ascii="Arial" w:hAnsi="Arial"/>
          <w:i/>
          <w:color w:val="231F20"/>
          <w:spacing w:val="-6"/>
          <w:sz w:val="14"/>
        </w:rPr>
        <w:t>AM,</w:t>
      </w:r>
      <w:r>
        <w:rPr>
          <w:rFonts w:ascii="Arial" w:hAnsi="Arial"/>
          <w:i/>
          <w:color w:val="231F20"/>
          <w:w w:val="98"/>
          <w:sz w:val="14"/>
        </w:rPr>
        <w:t> </w:t>
      </w:r>
      <w:r>
        <w:rPr>
          <w:rFonts w:ascii="Arial" w:hAnsi="Arial"/>
          <w:i/>
          <w:color w:val="231F20"/>
          <w:sz w:val="14"/>
        </w:rPr>
        <w:t>Tarnaud</w:t>
      </w:r>
      <w:r>
        <w:rPr>
          <w:rFonts w:ascii="Arial" w:hAnsi="Arial"/>
          <w:i/>
          <w:color w:val="231F20"/>
          <w:spacing w:val="-18"/>
          <w:sz w:val="14"/>
        </w:rPr>
        <w:t> </w:t>
      </w:r>
      <w:r>
        <w:rPr>
          <w:rFonts w:ascii="Arial" w:hAnsi="Arial"/>
          <w:i/>
          <w:color w:val="231F20"/>
          <w:spacing w:val="-8"/>
          <w:sz w:val="14"/>
        </w:rPr>
        <w:t>T,</w:t>
      </w:r>
      <w:r>
        <w:rPr>
          <w:rFonts w:ascii="Arial" w:hAnsi="Arial"/>
          <w:i/>
          <w:color w:val="231F20"/>
          <w:spacing w:val="-18"/>
          <w:sz w:val="14"/>
        </w:rPr>
        <w:t> </w:t>
      </w:r>
      <w:r>
        <w:rPr>
          <w:rFonts w:ascii="Arial" w:hAnsi="Arial"/>
          <w:i/>
          <w:color w:val="231F20"/>
          <w:sz w:val="14"/>
        </w:rPr>
        <w:t>Joseph</w:t>
      </w:r>
      <w:r>
        <w:rPr>
          <w:rFonts w:ascii="Arial" w:hAnsi="Arial"/>
          <w:i/>
          <w:color w:val="231F20"/>
          <w:spacing w:val="-18"/>
          <w:sz w:val="14"/>
        </w:rPr>
        <w:t> </w:t>
      </w:r>
      <w:r>
        <w:rPr>
          <w:rFonts w:ascii="Arial" w:hAnsi="Arial"/>
          <w:i/>
          <w:color w:val="231F20"/>
          <w:spacing w:val="-6"/>
          <w:sz w:val="14"/>
        </w:rPr>
        <w:t>W,</w:t>
      </w:r>
      <w:r>
        <w:rPr>
          <w:rFonts w:ascii="Arial" w:hAnsi="Arial"/>
          <w:i/>
          <w:color w:val="231F20"/>
          <w:spacing w:val="-18"/>
          <w:sz w:val="14"/>
        </w:rPr>
        <w:t> </w:t>
      </w:r>
      <w:r>
        <w:rPr>
          <w:rFonts w:ascii="Arial" w:hAnsi="Arial"/>
          <w:i/>
          <w:color w:val="231F20"/>
          <w:sz w:val="14"/>
        </w:rPr>
        <w:t>Marozas</w:t>
      </w:r>
      <w:r>
        <w:rPr>
          <w:rFonts w:ascii="Arial" w:hAnsi="Arial"/>
          <w:i/>
          <w:color w:val="231F20"/>
          <w:spacing w:val="-18"/>
          <w:sz w:val="14"/>
        </w:rPr>
        <w:t> </w:t>
      </w:r>
      <w:r>
        <w:rPr>
          <w:rFonts w:ascii="Arial" w:hAnsi="Arial"/>
          <w:i/>
          <w:color w:val="231F20"/>
          <w:spacing w:val="-8"/>
          <w:sz w:val="14"/>
        </w:rPr>
        <w:t>V,</w:t>
      </w:r>
      <w:r>
        <w:rPr>
          <w:rFonts w:ascii="Arial" w:hAnsi="Arial"/>
          <w:i/>
          <w:color w:val="231F20"/>
          <w:w w:val="100"/>
          <w:sz w:val="14"/>
        </w:rPr>
        <w:t> </w:t>
      </w:r>
      <w:r>
        <w:rPr>
          <w:rFonts w:ascii="Arial" w:hAnsi="Arial"/>
          <w:i/>
          <w:color w:val="231F20"/>
          <w:sz w:val="14"/>
        </w:rPr>
        <w:t>Lukosevicius</w:t>
      </w:r>
      <w:r>
        <w:rPr>
          <w:rFonts w:ascii="Arial" w:hAnsi="Arial"/>
          <w:i/>
          <w:color w:val="231F20"/>
          <w:spacing w:val="-17"/>
          <w:sz w:val="14"/>
        </w:rPr>
        <w:t> </w:t>
      </w:r>
      <w:r>
        <w:rPr>
          <w:rFonts w:ascii="Arial" w:hAnsi="Arial"/>
          <w:i/>
          <w:color w:val="231F20"/>
          <w:sz w:val="14"/>
        </w:rPr>
        <w:t>A,</w:t>
      </w:r>
      <w:r>
        <w:rPr>
          <w:rFonts w:ascii="Arial" w:hAnsi="Arial"/>
          <w:i/>
          <w:color w:val="231F20"/>
          <w:spacing w:val="-17"/>
          <w:sz w:val="14"/>
        </w:rPr>
        <w:t> </w:t>
      </w:r>
      <w:r>
        <w:rPr>
          <w:rFonts w:ascii="Arial" w:hAnsi="Arial"/>
          <w:i/>
          <w:color w:val="231F20"/>
          <w:sz w:val="14"/>
        </w:rPr>
        <w:t>Ištuk</w:t>
      </w:r>
      <w:r>
        <w:rPr>
          <w:rFonts w:ascii="Arial" w:hAnsi="Arial"/>
          <w:i/>
          <w:color w:val="231F20"/>
          <w:spacing w:val="-17"/>
          <w:sz w:val="14"/>
        </w:rPr>
        <w:t> </w:t>
      </w:r>
      <w:r>
        <w:rPr>
          <w:rFonts w:ascii="Arial" w:hAnsi="Arial"/>
          <w:i/>
          <w:color w:val="231F20"/>
          <w:sz w:val="14"/>
        </w:rPr>
        <w:t>N,</w:t>
      </w:r>
      <w:r>
        <w:rPr>
          <w:rFonts w:ascii="Arial" w:hAnsi="Arial"/>
          <w:i/>
          <w:color w:val="231F20"/>
          <w:spacing w:val="-16"/>
          <w:sz w:val="14"/>
        </w:rPr>
        <w:t> </w:t>
      </w:r>
      <w:r>
        <w:rPr>
          <w:rFonts w:ascii="Arial" w:hAnsi="Arial"/>
          <w:i/>
          <w:color w:val="231F20"/>
          <w:sz w:val="14"/>
        </w:rPr>
        <w:t>Lechner</w:t>
      </w:r>
      <w:r>
        <w:rPr>
          <w:rFonts w:ascii="Arial" w:hAnsi="Arial"/>
          <w:i/>
          <w:color w:val="231F20"/>
          <w:spacing w:val="-17"/>
          <w:sz w:val="14"/>
        </w:rPr>
        <w:t> </w:t>
      </w:r>
      <w:r>
        <w:rPr>
          <w:rFonts w:ascii="Arial" w:hAnsi="Arial"/>
          <w:i/>
          <w:color w:val="231F20"/>
          <w:sz w:val="14"/>
        </w:rPr>
        <w:t>S,</w:t>
      </w:r>
      <w:r>
        <w:rPr>
          <w:rFonts w:ascii="Arial" w:hAnsi="Arial"/>
          <w:i/>
          <w:color w:val="231F20"/>
          <w:w w:val="96"/>
          <w:sz w:val="14"/>
        </w:rPr>
        <w:t> </w:t>
      </w:r>
      <w:r>
        <w:rPr>
          <w:rFonts w:ascii="Arial" w:hAnsi="Arial"/>
          <w:i/>
          <w:color w:val="231F20"/>
          <w:sz w:val="14"/>
        </w:rPr>
        <w:t>Klonowski</w:t>
      </w:r>
      <w:r>
        <w:rPr>
          <w:rFonts w:ascii="Arial" w:hAnsi="Arial"/>
          <w:i/>
          <w:color w:val="231F20"/>
          <w:spacing w:val="-25"/>
          <w:sz w:val="14"/>
        </w:rPr>
        <w:t> </w:t>
      </w:r>
      <w:r>
        <w:rPr>
          <w:rFonts w:ascii="Arial" w:hAnsi="Arial"/>
          <w:i/>
          <w:color w:val="231F20"/>
          <w:spacing w:val="-6"/>
          <w:sz w:val="14"/>
        </w:rPr>
        <w:t>W,</w:t>
      </w:r>
      <w:r>
        <w:rPr>
          <w:rFonts w:ascii="Arial" w:hAnsi="Arial"/>
          <w:i/>
          <w:color w:val="231F20"/>
          <w:spacing w:val="-24"/>
          <w:sz w:val="14"/>
        </w:rPr>
        <w:t> </w:t>
      </w:r>
      <w:r>
        <w:rPr>
          <w:rFonts w:ascii="Arial" w:hAnsi="Arial"/>
          <w:i/>
          <w:color w:val="231F20"/>
          <w:sz w:val="14"/>
        </w:rPr>
        <w:t>Varoneckas</w:t>
      </w:r>
      <w:r>
        <w:rPr>
          <w:rFonts w:ascii="Arial" w:hAnsi="Arial"/>
          <w:i/>
          <w:color w:val="231F20"/>
          <w:spacing w:val="-24"/>
          <w:sz w:val="14"/>
        </w:rPr>
        <w:t> </w:t>
      </w:r>
      <w:r>
        <w:rPr>
          <w:rFonts w:ascii="Arial" w:hAnsi="Arial"/>
          <w:i/>
          <w:color w:val="231F20"/>
          <w:sz w:val="14"/>
        </w:rPr>
        <w:t>G,</w:t>
      </w:r>
    </w:p>
    <w:p>
      <w:pPr>
        <w:spacing w:line="297" w:lineRule="auto" w:before="0"/>
        <w:ind w:left="430" w:right="38" w:firstLine="162"/>
        <w:jc w:val="right"/>
        <w:rPr>
          <w:rFonts w:ascii="Arial" w:hAnsi="Arial"/>
          <w:i/>
          <w:sz w:val="14"/>
        </w:rPr>
      </w:pPr>
      <w:r>
        <w:rPr>
          <w:rFonts w:ascii="Arial" w:hAnsi="Arial"/>
          <w:i/>
          <w:color w:val="231F20"/>
          <w:sz w:val="14"/>
        </w:rPr>
        <w:t>Széles</w:t>
      </w:r>
      <w:r>
        <w:rPr>
          <w:rFonts w:ascii="Arial" w:hAnsi="Arial"/>
          <w:i/>
          <w:color w:val="231F20"/>
          <w:spacing w:val="-18"/>
          <w:sz w:val="14"/>
        </w:rPr>
        <w:t> </w:t>
      </w:r>
      <w:r>
        <w:rPr>
          <w:rFonts w:ascii="Arial" w:hAnsi="Arial"/>
          <w:i/>
          <w:color w:val="231F20"/>
          <w:sz w:val="14"/>
        </w:rPr>
        <w:t>JC</w:t>
      </w:r>
      <w:r>
        <w:rPr>
          <w:rFonts w:ascii="Arial" w:hAnsi="Arial"/>
          <w:i/>
          <w:color w:val="231F20"/>
          <w:spacing w:val="-18"/>
          <w:sz w:val="14"/>
        </w:rPr>
        <w:t> </w:t>
      </w:r>
      <w:r>
        <w:rPr>
          <w:rFonts w:ascii="Arial" w:hAnsi="Arial"/>
          <w:i/>
          <w:color w:val="231F20"/>
          <w:sz w:val="14"/>
        </w:rPr>
        <w:t>and</w:t>
      </w:r>
      <w:r>
        <w:rPr>
          <w:rFonts w:ascii="Arial" w:hAnsi="Arial"/>
          <w:i/>
          <w:color w:val="231F20"/>
          <w:spacing w:val="-18"/>
          <w:sz w:val="14"/>
        </w:rPr>
        <w:t> </w:t>
      </w:r>
      <w:r>
        <w:rPr>
          <w:rFonts w:ascii="Arial" w:hAnsi="Arial"/>
          <w:i/>
          <w:color w:val="231F20"/>
          <w:spacing w:val="-7"/>
          <w:sz w:val="14"/>
        </w:rPr>
        <w:t>Šarolic´</w:t>
      </w:r>
      <w:r>
        <w:rPr>
          <w:rFonts w:ascii="Arial" w:hAnsi="Arial"/>
          <w:i/>
          <w:color w:val="231F20"/>
          <w:spacing w:val="-6"/>
          <w:sz w:val="14"/>
        </w:rPr>
        <w:t> </w:t>
      </w:r>
      <w:r>
        <w:rPr>
          <w:rFonts w:ascii="Arial" w:hAnsi="Arial"/>
          <w:i/>
          <w:color w:val="231F20"/>
          <w:sz w:val="14"/>
        </w:rPr>
        <w:t>A</w:t>
      </w:r>
      <w:r>
        <w:rPr>
          <w:rFonts w:ascii="Arial" w:hAnsi="Arial"/>
          <w:i/>
          <w:color w:val="231F20"/>
          <w:spacing w:val="-17"/>
          <w:sz w:val="14"/>
        </w:rPr>
        <w:t> </w:t>
      </w:r>
      <w:r>
        <w:rPr>
          <w:rFonts w:ascii="Arial" w:hAnsi="Arial"/>
          <w:i/>
          <w:color w:val="231F20"/>
          <w:spacing w:val="-3"/>
          <w:sz w:val="14"/>
        </w:rPr>
        <w:t>(2019)</w:t>
      </w:r>
      <w:r>
        <w:rPr>
          <w:rFonts w:ascii="Arial" w:hAnsi="Arial"/>
          <w:i/>
          <w:color w:val="231F20"/>
          <w:w w:val="94"/>
          <w:sz w:val="14"/>
        </w:rPr>
        <w:t> </w:t>
      </w:r>
      <w:r>
        <w:rPr>
          <w:rFonts w:ascii="Arial" w:hAnsi="Arial"/>
          <w:i/>
          <w:color w:val="231F20"/>
          <w:sz w:val="14"/>
        </w:rPr>
        <w:t>Current</w:t>
      </w:r>
      <w:r>
        <w:rPr>
          <w:rFonts w:ascii="Arial" w:hAnsi="Arial"/>
          <w:i/>
          <w:color w:val="231F20"/>
          <w:spacing w:val="-25"/>
          <w:sz w:val="14"/>
        </w:rPr>
        <w:t> </w:t>
      </w:r>
      <w:r>
        <w:rPr>
          <w:rFonts w:ascii="Arial" w:hAnsi="Arial"/>
          <w:i/>
          <w:color w:val="231F20"/>
          <w:sz w:val="14"/>
        </w:rPr>
        <w:t>Directions</w:t>
      </w:r>
      <w:r>
        <w:rPr>
          <w:rFonts w:ascii="Arial" w:hAnsi="Arial"/>
          <w:i/>
          <w:color w:val="231F20"/>
          <w:spacing w:val="-24"/>
          <w:sz w:val="14"/>
        </w:rPr>
        <w:t> </w:t>
      </w:r>
      <w:r>
        <w:rPr>
          <w:rFonts w:ascii="Arial" w:hAnsi="Arial"/>
          <w:i/>
          <w:color w:val="231F20"/>
          <w:sz w:val="14"/>
        </w:rPr>
        <w:t>in</w:t>
      </w:r>
      <w:r>
        <w:rPr>
          <w:rFonts w:ascii="Arial" w:hAnsi="Arial"/>
          <w:i/>
          <w:color w:val="231F20"/>
          <w:spacing w:val="-25"/>
          <w:sz w:val="14"/>
        </w:rPr>
        <w:t> </w:t>
      </w:r>
      <w:r>
        <w:rPr>
          <w:rFonts w:ascii="Arial" w:hAnsi="Arial"/>
          <w:i/>
          <w:color w:val="231F20"/>
          <w:sz w:val="14"/>
        </w:rPr>
        <w:t>the</w:t>
      </w:r>
      <w:r>
        <w:rPr>
          <w:rFonts w:ascii="Arial" w:hAnsi="Arial"/>
          <w:i/>
          <w:color w:val="231F20"/>
          <w:spacing w:val="-24"/>
          <w:sz w:val="14"/>
        </w:rPr>
        <w:t> </w:t>
      </w:r>
      <w:r>
        <w:rPr>
          <w:rFonts w:ascii="Arial" w:hAnsi="Arial"/>
          <w:i/>
          <w:color w:val="231F20"/>
          <w:sz w:val="14"/>
        </w:rPr>
        <w:t>Auricular</w:t>
      </w:r>
      <w:r>
        <w:rPr>
          <w:rFonts w:ascii="Arial" w:hAnsi="Arial"/>
          <w:i/>
          <w:color w:val="231F20"/>
          <w:w w:val="94"/>
          <w:sz w:val="14"/>
        </w:rPr>
        <w:t> </w:t>
      </w:r>
      <w:r>
        <w:rPr>
          <w:rFonts w:ascii="Arial" w:hAnsi="Arial"/>
          <w:i/>
          <w:color w:val="231F20"/>
          <w:sz w:val="14"/>
        </w:rPr>
        <w:t>Vagus</w:t>
      </w:r>
      <w:r>
        <w:rPr>
          <w:rFonts w:ascii="Arial" w:hAnsi="Arial"/>
          <w:i/>
          <w:color w:val="231F20"/>
          <w:spacing w:val="-21"/>
          <w:sz w:val="14"/>
        </w:rPr>
        <w:t> </w:t>
      </w:r>
      <w:r>
        <w:rPr>
          <w:rFonts w:ascii="Arial" w:hAnsi="Arial"/>
          <w:i/>
          <w:color w:val="231F20"/>
          <w:sz w:val="14"/>
        </w:rPr>
        <w:t>Nerve</w:t>
      </w:r>
      <w:r>
        <w:rPr>
          <w:rFonts w:ascii="Arial" w:hAnsi="Arial"/>
          <w:i/>
          <w:color w:val="231F20"/>
          <w:spacing w:val="-21"/>
          <w:sz w:val="14"/>
        </w:rPr>
        <w:t> </w:t>
      </w:r>
      <w:r>
        <w:rPr>
          <w:rFonts w:ascii="Arial" w:hAnsi="Arial"/>
          <w:i/>
          <w:color w:val="231F20"/>
          <w:sz w:val="14"/>
        </w:rPr>
        <w:t>Stimulation</w:t>
      </w:r>
      <w:r>
        <w:rPr>
          <w:rFonts w:ascii="Arial" w:hAnsi="Arial"/>
          <w:i/>
          <w:color w:val="231F20"/>
          <w:spacing w:val="-20"/>
          <w:sz w:val="14"/>
        </w:rPr>
        <w:t> </w:t>
      </w:r>
      <w:r>
        <w:rPr>
          <w:rFonts w:ascii="Arial" w:hAnsi="Arial"/>
          <w:i/>
          <w:color w:val="231F20"/>
          <w:sz w:val="14"/>
        </w:rPr>
        <w:t>II</w:t>
      </w:r>
      <w:r>
        <w:rPr>
          <w:rFonts w:ascii="Arial" w:hAnsi="Arial"/>
          <w:i/>
          <w:color w:val="231F20"/>
          <w:spacing w:val="-21"/>
          <w:sz w:val="14"/>
        </w:rPr>
        <w:t> </w:t>
      </w:r>
      <w:r>
        <w:rPr>
          <w:rFonts w:ascii="Arial" w:hAnsi="Arial"/>
          <w:i/>
          <w:color w:val="231F20"/>
          <w:sz w:val="14"/>
        </w:rPr>
        <w:t>–</w:t>
      </w:r>
      <w:r>
        <w:rPr>
          <w:rFonts w:ascii="Arial" w:hAnsi="Arial"/>
          <w:i/>
          <w:color w:val="231F20"/>
          <w:spacing w:val="-21"/>
          <w:sz w:val="14"/>
        </w:rPr>
        <w:t> </w:t>
      </w:r>
      <w:r>
        <w:rPr>
          <w:rFonts w:ascii="Arial" w:hAnsi="Arial"/>
          <w:i/>
          <w:color w:val="231F20"/>
          <w:sz w:val="14"/>
        </w:rPr>
        <w:t>An</w:t>
      </w:r>
      <w:r>
        <w:rPr>
          <w:rFonts w:ascii="Arial" w:hAnsi="Arial"/>
          <w:i/>
          <w:color w:val="231F20"/>
          <w:w w:val="95"/>
          <w:sz w:val="14"/>
        </w:rPr>
        <w:t> </w:t>
      </w:r>
      <w:r>
        <w:rPr>
          <w:rFonts w:ascii="Arial" w:hAnsi="Arial"/>
          <w:i/>
          <w:color w:val="231F20"/>
          <w:w w:val="95"/>
          <w:sz w:val="14"/>
        </w:rPr>
        <w:t>Engineering</w:t>
      </w:r>
      <w:r>
        <w:rPr>
          <w:rFonts w:ascii="Arial" w:hAnsi="Arial"/>
          <w:i/>
          <w:color w:val="231F20"/>
          <w:spacing w:val="4"/>
          <w:w w:val="95"/>
          <w:sz w:val="14"/>
        </w:rPr>
        <w:t> </w:t>
      </w:r>
      <w:r>
        <w:rPr>
          <w:rFonts w:ascii="Arial" w:hAnsi="Arial"/>
          <w:i/>
          <w:color w:val="231F20"/>
          <w:w w:val="95"/>
          <w:sz w:val="14"/>
        </w:rPr>
        <w:t>Perspective.</w:t>
      </w:r>
    </w:p>
    <w:p>
      <w:pPr>
        <w:spacing w:line="297" w:lineRule="auto" w:before="0"/>
        <w:ind w:left="578" w:right="38" w:firstLine="402"/>
        <w:jc w:val="right"/>
        <w:rPr>
          <w:rFonts w:ascii="Arial"/>
          <w:i/>
          <w:sz w:val="14"/>
        </w:rPr>
      </w:pPr>
      <w:r>
        <w:rPr>
          <w:rFonts w:ascii="Arial"/>
          <w:i/>
          <w:color w:val="231F20"/>
          <w:sz w:val="14"/>
        </w:rPr>
        <w:t>Front.</w:t>
      </w:r>
      <w:r>
        <w:rPr>
          <w:rFonts w:ascii="Arial"/>
          <w:i/>
          <w:color w:val="231F20"/>
          <w:spacing w:val="-14"/>
          <w:sz w:val="14"/>
        </w:rPr>
        <w:t> </w:t>
      </w:r>
      <w:r>
        <w:rPr>
          <w:rFonts w:ascii="Arial"/>
          <w:i/>
          <w:color w:val="231F20"/>
          <w:sz w:val="14"/>
        </w:rPr>
        <w:t>Neurosci.</w:t>
      </w:r>
      <w:r>
        <w:rPr>
          <w:rFonts w:ascii="Arial"/>
          <w:i/>
          <w:color w:val="231F20"/>
          <w:spacing w:val="-14"/>
          <w:sz w:val="14"/>
        </w:rPr>
        <w:t> </w:t>
      </w:r>
      <w:r>
        <w:rPr>
          <w:rFonts w:ascii="Arial"/>
          <w:i/>
          <w:color w:val="231F20"/>
          <w:spacing w:val="-3"/>
          <w:sz w:val="14"/>
        </w:rPr>
        <w:t>13:772.</w:t>
      </w:r>
      <w:r>
        <w:rPr>
          <w:rFonts w:ascii="Arial"/>
          <w:i/>
          <w:color w:val="231F20"/>
          <w:w w:val="99"/>
          <w:sz w:val="14"/>
        </w:rPr>
        <w:t> </w:t>
      </w:r>
      <w:r>
        <w:rPr>
          <w:rFonts w:ascii="Arial"/>
          <w:i/>
          <w:color w:val="231F20"/>
          <w:w w:val="95"/>
          <w:sz w:val="14"/>
        </w:rPr>
        <w:t>doi: </w:t>
      </w:r>
      <w:r>
        <w:rPr>
          <w:rFonts w:ascii="Arial"/>
          <w:i/>
          <w:color w:val="231F20"/>
          <w:spacing w:val="28"/>
          <w:w w:val="95"/>
          <w:sz w:val="14"/>
        </w:rPr>
        <w:t> </w:t>
      </w:r>
      <w:hyperlink r:id="rId9">
        <w:r>
          <w:rPr>
            <w:rFonts w:ascii="Arial"/>
            <w:i/>
            <w:color w:val="231F20"/>
            <w:w w:val="95"/>
            <w:sz w:val="14"/>
          </w:rPr>
          <w:t>10.3389/fnins.2019.00772</w:t>
        </w:r>
      </w:hyperlink>
    </w:p>
    <w:p>
      <w:pPr>
        <w:pStyle w:val="BodyText"/>
        <w:spacing w:before="6"/>
        <w:ind w:left="0"/>
        <w:rPr>
          <w:rFonts w:ascii="Arial"/>
          <w:i/>
          <w:sz w:val="15"/>
        </w:rPr>
      </w:pPr>
      <w:r>
        <w:rPr/>
        <w:br w:type="column"/>
      </w:r>
      <w:r>
        <w:rPr>
          <w:rFonts w:ascii="Arial"/>
          <w:i/>
          <w:sz w:val="15"/>
        </w:rPr>
      </w:r>
    </w:p>
    <w:p>
      <w:pPr>
        <w:spacing w:before="0"/>
        <w:ind w:left="173" w:right="0" w:firstLine="0"/>
        <w:jc w:val="left"/>
        <w:rPr>
          <w:rFonts w:ascii="Arial"/>
          <w:i/>
          <w:sz w:val="14"/>
        </w:rPr>
      </w:pPr>
      <w:r>
        <w:rPr>
          <w:rFonts w:ascii="Arial"/>
          <w:i/>
          <w:color w:val="231F20"/>
          <w:position w:val="5"/>
          <w:sz w:val="8"/>
        </w:rPr>
        <w:t>1 </w:t>
      </w:r>
      <w:r>
        <w:rPr>
          <w:rFonts w:ascii="Arial"/>
          <w:i/>
          <w:color w:val="231F20"/>
          <w:sz w:val="14"/>
        </w:rPr>
        <w:t>Institute of Electrodynamics, Microwave and Circuit Engineering, Vienna University of Technology, Vienna, Austria,</w:t>
      </w:r>
    </w:p>
    <w:p>
      <w:pPr>
        <w:spacing w:line="297" w:lineRule="auto" w:before="38"/>
        <w:ind w:left="173" w:right="245" w:firstLine="0"/>
        <w:jc w:val="left"/>
        <w:rPr>
          <w:rFonts w:ascii="Arial" w:hAnsi="Arial"/>
          <w:i/>
          <w:sz w:val="14"/>
        </w:rPr>
      </w:pPr>
      <w:r>
        <w:rPr>
          <w:rFonts w:ascii="Arial" w:hAnsi="Arial"/>
          <w:i/>
          <w:color w:val="231F20"/>
          <w:position w:val="5"/>
          <w:sz w:val="8"/>
        </w:rPr>
        <w:t>2</w:t>
      </w:r>
      <w:r>
        <w:rPr>
          <w:rFonts w:ascii="Arial" w:hAnsi="Arial"/>
          <w:i/>
          <w:color w:val="231F20"/>
          <w:spacing w:val="-6"/>
          <w:position w:val="5"/>
          <w:sz w:val="8"/>
        </w:rPr>
        <w:t> </w:t>
      </w:r>
      <w:r>
        <w:rPr>
          <w:rFonts w:ascii="Arial" w:hAnsi="Arial"/>
          <w:i/>
          <w:color w:val="231F20"/>
          <w:sz w:val="14"/>
        </w:rPr>
        <w:t>SzeleSTIM</w:t>
      </w:r>
      <w:r>
        <w:rPr>
          <w:rFonts w:ascii="Arial" w:hAnsi="Arial"/>
          <w:i/>
          <w:color w:val="231F20"/>
          <w:spacing w:val="-19"/>
          <w:sz w:val="14"/>
        </w:rPr>
        <w:t> </w:t>
      </w:r>
      <w:r>
        <w:rPr>
          <w:rFonts w:ascii="Arial" w:hAnsi="Arial"/>
          <w:i/>
          <w:color w:val="231F20"/>
          <w:sz w:val="14"/>
        </w:rPr>
        <w:t>GmbH,</w:t>
      </w:r>
      <w:r>
        <w:rPr>
          <w:rFonts w:ascii="Arial" w:hAnsi="Arial"/>
          <w:i/>
          <w:color w:val="231F20"/>
          <w:spacing w:val="-19"/>
          <w:sz w:val="14"/>
        </w:rPr>
        <w:t> </w:t>
      </w:r>
      <w:r>
        <w:rPr>
          <w:rFonts w:ascii="Arial" w:hAnsi="Arial"/>
          <w:i/>
          <w:color w:val="231F20"/>
          <w:sz w:val="14"/>
        </w:rPr>
        <w:t>Vienna,</w:t>
      </w:r>
      <w:r>
        <w:rPr>
          <w:rFonts w:ascii="Arial" w:hAnsi="Arial"/>
          <w:i/>
          <w:color w:val="231F20"/>
          <w:spacing w:val="-18"/>
          <w:sz w:val="14"/>
        </w:rPr>
        <w:t> </w:t>
      </w:r>
      <w:r>
        <w:rPr>
          <w:rFonts w:ascii="Arial" w:hAnsi="Arial"/>
          <w:i/>
          <w:color w:val="231F20"/>
          <w:sz w:val="14"/>
        </w:rPr>
        <w:t>Austria,</w:t>
      </w:r>
      <w:r>
        <w:rPr>
          <w:rFonts w:ascii="Arial" w:hAnsi="Arial"/>
          <w:i/>
          <w:color w:val="231F20"/>
          <w:spacing w:val="-19"/>
          <w:sz w:val="14"/>
        </w:rPr>
        <w:t> </w:t>
      </w:r>
      <w:r>
        <w:rPr>
          <w:rFonts w:ascii="Arial" w:hAnsi="Arial"/>
          <w:i/>
          <w:color w:val="231F20"/>
          <w:position w:val="5"/>
          <w:sz w:val="8"/>
        </w:rPr>
        <w:t>3</w:t>
      </w:r>
      <w:r>
        <w:rPr>
          <w:rFonts w:ascii="Arial" w:hAnsi="Arial"/>
          <w:i/>
          <w:color w:val="231F20"/>
          <w:spacing w:val="-6"/>
          <w:position w:val="5"/>
          <w:sz w:val="8"/>
        </w:rPr>
        <w:t> </w:t>
      </w:r>
      <w:r>
        <w:rPr>
          <w:rFonts w:ascii="Arial" w:hAnsi="Arial"/>
          <w:i/>
          <w:color w:val="231F20"/>
          <w:sz w:val="14"/>
        </w:rPr>
        <w:t>Max</w:t>
      </w:r>
      <w:r>
        <w:rPr>
          <w:rFonts w:ascii="Arial" w:hAnsi="Arial"/>
          <w:i/>
          <w:color w:val="231F20"/>
          <w:spacing w:val="-18"/>
          <w:sz w:val="14"/>
        </w:rPr>
        <w:t> </w:t>
      </w:r>
      <w:r>
        <w:rPr>
          <w:rFonts w:ascii="Arial" w:hAnsi="Arial"/>
          <w:i/>
          <w:color w:val="231F20"/>
          <w:sz w:val="14"/>
        </w:rPr>
        <w:t>Planck</w:t>
      </w:r>
      <w:r>
        <w:rPr>
          <w:rFonts w:ascii="Arial" w:hAnsi="Arial"/>
          <w:i/>
          <w:color w:val="231F20"/>
          <w:spacing w:val="-19"/>
          <w:sz w:val="14"/>
        </w:rPr>
        <w:t> </w:t>
      </w:r>
      <w:r>
        <w:rPr>
          <w:rFonts w:ascii="Arial" w:hAnsi="Arial"/>
          <w:i/>
          <w:color w:val="231F20"/>
          <w:sz w:val="14"/>
        </w:rPr>
        <w:t>Institute</w:t>
      </w:r>
      <w:r>
        <w:rPr>
          <w:rFonts w:ascii="Arial" w:hAnsi="Arial"/>
          <w:i/>
          <w:color w:val="231F20"/>
          <w:spacing w:val="-18"/>
          <w:sz w:val="14"/>
        </w:rPr>
        <w:t> </w:t>
      </w:r>
      <w:r>
        <w:rPr>
          <w:rFonts w:ascii="Arial" w:hAnsi="Arial"/>
          <w:i/>
          <w:color w:val="231F20"/>
          <w:sz w:val="14"/>
        </w:rPr>
        <w:t>for</w:t>
      </w:r>
      <w:r>
        <w:rPr>
          <w:rFonts w:ascii="Arial" w:hAnsi="Arial"/>
          <w:i/>
          <w:color w:val="231F20"/>
          <w:spacing w:val="-19"/>
          <w:sz w:val="14"/>
        </w:rPr>
        <w:t> </w:t>
      </w:r>
      <w:r>
        <w:rPr>
          <w:rFonts w:ascii="Arial" w:hAnsi="Arial"/>
          <w:i/>
          <w:color w:val="231F20"/>
          <w:sz w:val="14"/>
        </w:rPr>
        <w:t>Metabolism</w:t>
      </w:r>
      <w:r>
        <w:rPr>
          <w:rFonts w:ascii="Arial" w:hAnsi="Arial"/>
          <w:i/>
          <w:color w:val="231F20"/>
          <w:spacing w:val="-18"/>
          <w:sz w:val="14"/>
        </w:rPr>
        <w:t> </w:t>
      </w:r>
      <w:r>
        <w:rPr>
          <w:rFonts w:ascii="Arial" w:hAnsi="Arial"/>
          <w:i/>
          <w:color w:val="231F20"/>
          <w:sz w:val="14"/>
        </w:rPr>
        <w:t>Research,</w:t>
      </w:r>
      <w:r>
        <w:rPr>
          <w:rFonts w:ascii="Arial" w:hAnsi="Arial"/>
          <w:i/>
          <w:color w:val="231F20"/>
          <w:spacing w:val="-19"/>
          <w:sz w:val="14"/>
        </w:rPr>
        <w:t> </w:t>
      </w:r>
      <w:r>
        <w:rPr>
          <w:rFonts w:ascii="Arial" w:hAnsi="Arial"/>
          <w:i/>
          <w:color w:val="231F20"/>
          <w:sz w:val="14"/>
        </w:rPr>
        <w:t>Cologne,</w:t>
      </w:r>
      <w:r>
        <w:rPr>
          <w:rFonts w:ascii="Arial" w:hAnsi="Arial"/>
          <w:i/>
          <w:color w:val="231F20"/>
          <w:spacing w:val="-19"/>
          <w:sz w:val="14"/>
        </w:rPr>
        <w:t> </w:t>
      </w:r>
      <w:r>
        <w:rPr>
          <w:rFonts w:ascii="Arial" w:hAnsi="Arial"/>
          <w:i/>
          <w:color w:val="231F20"/>
          <w:sz w:val="14"/>
        </w:rPr>
        <w:t>Germany,</w:t>
      </w:r>
      <w:r>
        <w:rPr>
          <w:rFonts w:ascii="Arial" w:hAnsi="Arial"/>
          <w:i/>
          <w:color w:val="231F20"/>
          <w:spacing w:val="-18"/>
          <w:sz w:val="14"/>
        </w:rPr>
        <w:t> </w:t>
      </w:r>
      <w:r>
        <w:rPr>
          <w:rFonts w:ascii="Arial" w:hAnsi="Arial"/>
          <w:i/>
          <w:color w:val="231F20"/>
          <w:position w:val="5"/>
          <w:sz w:val="8"/>
        </w:rPr>
        <w:t>4</w:t>
      </w:r>
      <w:r>
        <w:rPr>
          <w:rFonts w:ascii="Arial" w:hAnsi="Arial"/>
          <w:i/>
          <w:color w:val="231F20"/>
          <w:spacing w:val="-6"/>
          <w:position w:val="5"/>
          <w:sz w:val="8"/>
        </w:rPr>
        <w:t> </w:t>
      </w:r>
      <w:r>
        <w:rPr>
          <w:rFonts w:ascii="Arial" w:hAnsi="Arial"/>
          <w:i/>
          <w:color w:val="231F20"/>
          <w:sz w:val="14"/>
        </w:rPr>
        <w:t>Cologne</w:t>
      </w:r>
      <w:r>
        <w:rPr>
          <w:rFonts w:ascii="Arial" w:hAnsi="Arial"/>
          <w:i/>
          <w:color w:val="231F20"/>
          <w:spacing w:val="-19"/>
          <w:sz w:val="14"/>
        </w:rPr>
        <w:t> </w:t>
      </w:r>
      <w:r>
        <w:rPr>
          <w:rFonts w:ascii="Arial" w:hAnsi="Arial"/>
          <w:i/>
          <w:color w:val="231F20"/>
          <w:sz w:val="14"/>
        </w:rPr>
        <w:t>Cluster </w:t>
      </w:r>
      <w:r>
        <w:rPr>
          <w:rFonts w:ascii="Arial" w:hAnsi="Arial"/>
          <w:i/>
          <w:color w:val="231F20"/>
          <w:sz w:val="14"/>
        </w:rPr>
        <w:t>of Excellence in Cellular Stress and Aging Associated Disease (CECAD), Cologne, Germany, </w:t>
      </w:r>
      <w:r>
        <w:rPr>
          <w:rFonts w:ascii="Arial" w:hAnsi="Arial"/>
          <w:i/>
          <w:color w:val="231F20"/>
          <w:position w:val="5"/>
          <w:sz w:val="8"/>
        </w:rPr>
        <w:t>5 </w:t>
      </w:r>
      <w:r>
        <w:rPr>
          <w:rFonts w:ascii="Arial" w:hAnsi="Arial"/>
          <w:i/>
          <w:color w:val="231F20"/>
          <w:sz w:val="14"/>
        </w:rPr>
        <w:t>Neurocomputing &amp; Neurorobotics Research Group, Complutense University of Madrid, Madrid, Spain, </w:t>
      </w:r>
      <w:r>
        <w:rPr>
          <w:rFonts w:ascii="Arial" w:hAnsi="Arial"/>
          <w:i/>
          <w:color w:val="231F20"/>
          <w:position w:val="5"/>
          <w:sz w:val="8"/>
        </w:rPr>
        <w:t>6 </w:t>
      </w:r>
      <w:r>
        <w:rPr>
          <w:rFonts w:ascii="Arial" w:hAnsi="Arial"/>
          <w:i/>
          <w:color w:val="231F20"/>
          <w:sz w:val="14"/>
        </w:rPr>
        <w:t>Laboratory of Neuronal Networks, Department</w:t>
      </w:r>
      <w:r>
        <w:rPr>
          <w:rFonts w:ascii="Arial" w:hAnsi="Arial"/>
          <w:i/>
          <w:color w:val="231F20"/>
          <w:spacing w:val="-19"/>
          <w:sz w:val="14"/>
        </w:rPr>
        <w:t> </w:t>
      </w:r>
      <w:r>
        <w:rPr>
          <w:rFonts w:ascii="Arial" w:hAnsi="Arial"/>
          <w:i/>
          <w:color w:val="231F20"/>
          <w:sz w:val="14"/>
        </w:rPr>
        <w:t>of</w:t>
      </w:r>
      <w:r>
        <w:rPr>
          <w:rFonts w:ascii="Arial" w:hAnsi="Arial"/>
          <w:i/>
          <w:color w:val="231F20"/>
          <w:spacing w:val="-19"/>
          <w:sz w:val="14"/>
        </w:rPr>
        <w:t> </w:t>
      </w:r>
      <w:r>
        <w:rPr>
          <w:rFonts w:ascii="Arial" w:hAnsi="Arial"/>
          <w:i/>
          <w:color w:val="231F20"/>
          <w:sz w:val="14"/>
        </w:rPr>
        <w:t>Mental</w:t>
      </w:r>
      <w:r>
        <w:rPr>
          <w:rFonts w:ascii="Arial" w:hAnsi="Arial"/>
          <w:i/>
          <w:color w:val="231F20"/>
          <w:spacing w:val="-19"/>
          <w:sz w:val="14"/>
        </w:rPr>
        <w:t> </w:t>
      </w:r>
      <w:r>
        <w:rPr>
          <w:rFonts w:ascii="Arial" w:hAnsi="Arial"/>
          <w:i/>
          <w:color w:val="231F20"/>
          <w:sz w:val="14"/>
        </w:rPr>
        <w:t>and</w:t>
      </w:r>
      <w:r>
        <w:rPr>
          <w:rFonts w:ascii="Arial" w:hAnsi="Arial"/>
          <w:i/>
          <w:color w:val="231F20"/>
          <w:spacing w:val="-19"/>
          <w:sz w:val="14"/>
        </w:rPr>
        <w:t> </w:t>
      </w:r>
      <w:r>
        <w:rPr>
          <w:rFonts w:ascii="Arial" w:hAnsi="Arial"/>
          <w:i/>
          <w:color w:val="231F20"/>
          <w:sz w:val="14"/>
        </w:rPr>
        <w:t>Physical</w:t>
      </w:r>
      <w:r>
        <w:rPr>
          <w:rFonts w:ascii="Arial" w:hAnsi="Arial"/>
          <w:i/>
          <w:color w:val="231F20"/>
          <w:spacing w:val="-19"/>
          <w:sz w:val="14"/>
        </w:rPr>
        <w:t> </w:t>
      </w:r>
      <w:r>
        <w:rPr>
          <w:rFonts w:ascii="Arial" w:hAnsi="Arial"/>
          <w:i/>
          <w:color w:val="231F20"/>
          <w:sz w:val="14"/>
        </w:rPr>
        <w:t>Health</w:t>
      </w:r>
      <w:r>
        <w:rPr>
          <w:rFonts w:ascii="Arial" w:hAnsi="Arial"/>
          <w:i/>
          <w:color w:val="231F20"/>
          <w:spacing w:val="-19"/>
          <w:sz w:val="14"/>
        </w:rPr>
        <w:t> </w:t>
      </w:r>
      <w:r>
        <w:rPr>
          <w:rFonts w:ascii="Arial" w:hAnsi="Arial"/>
          <w:i/>
          <w:color w:val="231F20"/>
          <w:sz w:val="14"/>
        </w:rPr>
        <w:t>and</w:t>
      </w:r>
      <w:r>
        <w:rPr>
          <w:rFonts w:ascii="Arial" w:hAnsi="Arial"/>
          <w:i/>
          <w:color w:val="231F20"/>
          <w:spacing w:val="-19"/>
          <w:sz w:val="14"/>
        </w:rPr>
        <w:t> </w:t>
      </w:r>
      <w:r>
        <w:rPr>
          <w:rFonts w:ascii="Arial" w:hAnsi="Arial"/>
          <w:i/>
          <w:color w:val="231F20"/>
          <w:sz w:val="14"/>
        </w:rPr>
        <w:t>Preventive</w:t>
      </w:r>
      <w:r>
        <w:rPr>
          <w:rFonts w:ascii="Arial" w:hAnsi="Arial"/>
          <w:i/>
          <w:color w:val="231F20"/>
          <w:spacing w:val="-19"/>
          <w:sz w:val="14"/>
        </w:rPr>
        <w:t> </w:t>
      </w:r>
      <w:r>
        <w:rPr>
          <w:rFonts w:ascii="Arial" w:hAnsi="Arial"/>
          <w:i/>
          <w:color w:val="231F20"/>
          <w:sz w:val="14"/>
        </w:rPr>
        <w:t>Medicine,</w:t>
      </w:r>
      <w:r>
        <w:rPr>
          <w:rFonts w:ascii="Arial" w:hAnsi="Arial"/>
          <w:i/>
          <w:color w:val="231F20"/>
          <w:spacing w:val="-19"/>
          <w:sz w:val="14"/>
        </w:rPr>
        <w:t> </w:t>
      </w:r>
      <w:r>
        <w:rPr>
          <w:rFonts w:ascii="Arial" w:hAnsi="Arial"/>
          <w:i/>
          <w:color w:val="231F20"/>
          <w:sz w:val="14"/>
        </w:rPr>
        <w:t>University</w:t>
      </w:r>
      <w:r>
        <w:rPr>
          <w:rFonts w:ascii="Arial" w:hAnsi="Arial"/>
          <w:i/>
          <w:color w:val="231F20"/>
          <w:spacing w:val="-19"/>
          <w:sz w:val="14"/>
        </w:rPr>
        <w:t> </w:t>
      </w:r>
      <w:r>
        <w:rPr>
          <w:rFonts w:ascii="Arial" w:hAnsi="Arial"/>
          <w:i/>
          <w:color w:val="231F20"/>
          <w:sz w:val="14"/>
        </w:rPr>
        <w:t>of</w:t>
      </w:r>
      <w:r>
        <w:rPr>
          <w:rFonts w:ascii="Arial" w:hAnsi="Arial"/>
          <w:i/>
          <w:color w:val="231F20"/>
          <w:spacing w:val="-19"/>
          <w:sz w:val="14"/>
        </w:rPr>
        <w:t> </w:t>
      </w:r>
      <w:r>
        <w:rPr>
          <w:rFonts w:ascii="Arial" w:hAnsi="Arial"/>
          <w:i/>
          <w:color w:val="231F20"/>
          <w:sz w:val="14"/>
        </w:rPr>
        <w:t>Campania</w:t>
      </w:r>
      <w:r>
        <w:rPr>
          <w:rFonts w:ascii="Arial" w:hAnsi="Arial"/>
          <w:i/>
          <w:color w:val="231F20"/>
          <w:spacing w:val="-19"/>
          <w:sz w:val="14"/>
        </w:rPr>
        <w:t> </w:t>
      </w:r>
      <w:r>
        <w:rPr>
          <w:rFonts w:ascii="Arial" w:hAnsi="Arial"/>
          <w:i/>
          <w:color w:val="231F20"/>
          <w:sz w:val="14"/>
        </w:rPr>
        <w:t>“Luigi</w:t>
      </w:r>
      <w:r>
        <w:rPr>
          <w:rFonts w:ascii="Arial" w:hAnsi="Arial"/>
          <w:i/>
          <w:color w:val="231F20"/>
          <w:spacing w:val="-19"/>
          <w:sz w:val="14"/>
        </w:rPr>
        <w:t> </w:t>
      </w:r>
      <w:r>
        <w:rPr>
          <w:rFonts w:ascii="Arial" w:hAnsi="Arial"/>
          <w:i/>
          <w:color w:val="231F20"/>
          <w:sz w:val="14"/>
        </w:rPr>
        <w:t>Vanvitelli”,</w:t>
      </w:r>
      <w:r>
        <w:rPr>
          <w:rFonts w:ascii="Arial" w:hAnsi="Arial"/>
          <w:i/>
          <w:color w:val="231F20"/>
          <w:spacing w:val="-19"/>
          <w:sz w:val="14"/>
        </w:rPr>
        <w:t> </w:t>
      </w:r>
      <w:r>
        <w:rPr>
          <w:rFonts w:ascii="Arial" w:hAnsi="Arial"/>
          <w:i/>
          <w:color w:val="231F20"/>
          <w:sz w:val="14"/>
        </w:rPr>
        <w:t>Naples,</w:t>
      </w:r>
      <w:r>
        <w:rPr>
          <w:rFonts w:ascii="Arial" w:hAnsi="Arial"/>
          <w:i/>
          <w:color w:val="231F20"/>
          <w:spacing w:val="-19"/>
          <w:sz w:val="14"/>
        </w:rPr>
        <w:t> </w:t>
      </w:r>
      <w:r>
        <w:rPr>
          <w:rFonts w:ascii="Arial" w:hAnsi="Arial"/>
          <w:i/>
          <w:color w:val="231F20"/>
          <w:sz w:val="14"/>
        </w:rPr>
        <w:t>Italy, </w:t>
      </w:r>
      <w:r>
        <w:rPr>
          <w:rFonts w:ascii="Arial" w:hAnsi="Arial"/>
          <w:i/>
          <w:color w:val="231F20"/>
          <w:position w:val="5"/>
          <w:sz w:val="8"/>
        </w:rPr>
        <w:t>7</w:t>
      </w:r>
      <w:r>
        <w:rPr>
          <w:rFonts w:ascii="Arial" w:hAnsi="Arial"/>
          <w:i/>
          <w:color w:val="231F20"/>
          <w:spacing w:val="-5"/>
          <w:position w:val="5"/>
          <w:sz w:val="8"/>
        </w:rPr>
        <w:t> </w:t>
      </w:r>
      <w:r>
        <w:rPr>
          <w:rFonts w:ascii="Arial" w:hAnsi="Arial"/>
          <w:i/>
          <w:color w:val="231F20"/>
          <w:sz w:val="14"/>
        </w:rPr>
        <w:t>Ludwig</w:t>
      </w:r>
      <w:r>
        <w:rPr>
          <w:rFonts w:ascii="Arial" w:hAnsi="Arial"/>
          <w:i/>
          <w:color w:val="231F20"/>
          <w:spacing w:val="-17"/>
          <w:sz w:val="14"/>
        </w:rPr>
        <w:t> </w:t>
      </w:r>
      <w:r>
        <w:rPr>
          <w:rFonts w:ascii="Arial" w:hAnsi="Arial"/>
          <w:i/>
          <w:color w:val="231F20"/>
          <w:sz w:val="14"/>
        </w:rPr>
        <w:t>Boltzmann</w:t>
      </w:r>
      <w:r>
        <w:rPr>
          <w:rFonts w:ascii="Arial" w:hAnsi="Arial"/>
          <w:i/>
          <w:color w:val="231F20"/>
          <w:spacing w:val="-17"/>
          <w:sz w:val="14"/>
        </w:rPr>
        <w:t> </w:t>
      </w:r>
      <w:r>
        <w:rPr>
          <w:rFonts w:ascii="Arial" w:hAnsi="Arial"/>
          <w:i/>
          <w:color w:val="231F20"/>
          <w:sz w:val="14"/>
        </w:rPr>
        <w:t>Cluster</w:t>
      </w:r>
      <w:r>
        <w:rPr>
          <w:rFonts w:ascii="Arial" w:hAnsi="Arial"/>
          <w:i/>
          <w:color w:val="231F20"/>
          <w:spacing w:val="-17"/>
          <w:sz w:val="14"/>
        </w:rPr>
        <w:t> </w:t>
      </w:r>
      <w:r>
        <w:rPr>
          <w:rFonts w:ascii="Arial" w:hAnsi="Arial"/>
          <w:i/>
          <w:color w:val="231F20"/>
          <w:sz w:val="14"/>
        </w:rPr>
        <w:t>for</w:t>
      </w:r>
      <w:r>
        <w:rPr>
          <w:rFonts w:ascii="Arial" w:hAnsi="Arial"/>
          <w:i/>
          <w:color w:val="231F20"/>
          <w:spacing w:val="-17"/>
          <w:sz w:val="14"/>
        </w:rPr>
        <w:t> </w:t>
      </w:r>
      <w:r>
        <w:rPr>
          <w:rFonts w:ascii="Arial" w:hAnsi="Arial"/>
          <w:i/>
          <w:color w:val="231F20"/>
          <w:sz w:val="14"/>
        </w:rPr>
        <w:t>Cardiovascular</w:t>
      </w:r>
      <w:r>
        <w:rPr>
          <w:rFonts w:ascii="Arial" w:hAnsi="Arial"/>
          <w:i/>
          <w:color w:val="231F20"/>
          <w:spacing w:val="-16"/>
          <w:sz w:val="14"/>
        </w:rPr>
        <w:t> </w:t>
      </w:r>
      <w:r>
        <w:rPr>
          <w:rFonts w:ascii="Arial" w:hAnsi="Arial"/>
          <w:i/>
          <w:color w:val="231F20"/>
          <w:sz w:val="14"/>
        </w:rPr>
        <w:t>Research</w:t>
      </w:r>
      <w:r>
        <w:rPr>
          <w:rFonts w:ascii="Arial" w:hAnsi="Arial"/>
          <w:i/>
          <w:color w:val="231F20"/>
          <w:spacing w:val="-17"/>
          <w:sz w:val="14"/>
        </w:rPr>
        <w:t> </w:t>
      </w:r>
      <w:r>
        <w:rPr>
          <w:rFonts w:ascii="Arial" w:hAnsi="Arial"/>
          <w:i/>
          <w:color w:val="231F20"/>
          <w:sz w:val="14"/>
        </w:rPr>
        <w:t>at</w:t>
      </w:r>
      <w:r>
        <w:rPr>
          <w:rFonts w:ascii="Arial" w:hAnsi="Arial"/>
          <w:i/>
          <w:color w:val="231F20"/>
          <w:spacing w:val="-17"/>
          <w:sz w:val="14"/>
        </w:rPr>
        <w:t> </w:t>
      </w:r>
      <w:r>
        <w:rPr>
          <w:rFonts w:ascii="Arial" w:hAnsi="Arial"/>
          <w:i/>
          <w:color w:val="231F20"/>
          <w:sz w:val="14"/>
        </w:rPr>
        <w:t>Center</w:t>
      </w:r>
      <w:r>
        <w:rPr>
          <w:rFonts w:ascii="Arial" w:hAnsi="Arial"/>
          <w:i/>
          <w:color w:val="231F20"/>
          <w:spacing w:val="-17"/>
          <w:sz w:val="14"/>
        </w:rPr>
        <w:t> </w:t>
      </w:r>
      <w:r>
        <w:rPr>
          <w:rFonts w:ascii="Arial" w:hAnsi="Arial"/>
          <w:i/>
          <w:color w:val="231F20"/>
          <w:sz w:val="14"/>
        </w:rPr>
        <w:t>for</w:t>
      </w:r>
      <w:r>
        <w:rPr>
          <w:rFonts w:ascii="Arial" w:hAnsi="Arial"/>
          <w:i/>
          <w:color w:val="231F20"/>
          <w:spacing w:val="-17"/>
          <w:sz w:val="14"/>
        </w:rPr>
        <w:t> </w:t>
      </w:r>
      <w:r>
        <w:rPr>
          <w:rFonts w:ascii="Arial" w:hAnsi="Arial"/>
          <w:i/>
          <w:color w:val="231F20"/>
          <w:sz w:val="14"/>
        </w:rPr>
        <w:t>Biomedical</w:t>
      </w:r>
      <w:r>
        <w:rPr>
          <w:rFonts w:ascii="Arial" w:hAnsi="Arial"/>
          <w:i/>
          <w:color w:val="231F20"/>
          <w:spacing w:val="-17"/>
          <w:sz w:val="14"/>
        </w:rPr>
        <w:t> </w:t>
      </w:r>
      <w:r>
        <w:rPr>
          <w:rFonts w:ascii="Arial" w:hAnsi="Arial"/>
          <w:i/>
          <w:color w:val="231F20"/>
          <w:sz w:val="14"/>
        </w:rPr>
        <w:t>Research,</w:t>
      </w:r>
      <w:r>
        <w:rPr>
          <w:rFonts w:ascii="Arial" w:hAnsi="Arial"/>
          <w:i/>
          <w:color w:val="231F20"/>
          <w:spacing w:val="-17"/>
          <w:sz w:val="14"/>
        </w:rPr>
        <w:t> </w:t>
      </w:r>
      <w:r>
        <w:rPr>
          <w:rFonts w:ascii="Arial" w:hAnsi="Arial"/>
          <w:i/>
          <w:color w:val="231F20"/>
          <w:sz w:val="14"/>
        </w:rPr>
        <w:t>Medical</w:t>
      </w:r>
      <w:r>
        <w:rPr>
          <w:rFonts w:ascii="Arial" w:hAnsi="Arial"/>
          <w:i/>
          <w:color w:val="231F20"/>
          <w:spacing w:val="-17"/>
          <w:sz w:val="14"/>
        </w:rPr>
        <w:t> </w:t>
      </w:r>
      <w:r>
        <w:rPr>
          <w:rFonts w:ascii="Arial" w:hAnsi="Arial"/>
          <w:i/>
          <w:color w:val="231F20"/>
          <w:sz w:val="14"/>
        </w:rPr>
        <w:t>University</w:t>
      </w:r>
      <w:r>
        <w:rPr>
          <w:rFonts w:ascii="Arial" w:hAnsi="Arial"/>
          <w:i/>
          <w:color w:val="231F20"/>
          <w:spacing w:val="-16"/>
          <w:sz w:val="14"/>
        </w:rPr>
        <w:t> </w:t>
      </w:r>
      <w:r>
        <w:rPr>
          <w:rFonts w:ascii="Arial" w:hAnsi="Arial"/>
          <w:i/>
          <w:color w:val="231F20"/>
          <w:sz w:val="14"/>
        </w:rPr>
        <w:t>of</w:t>
      </w:r>
      <w:r>
        <w:rPr>
          <w:rFonts w:ascii="Arial" w:hAnsi="Arial"/>
          <w:i/>
          <w:color w:val="231F20"/>
          <w:spacing w:val="-17"/>
          <w:sz w:val="14"/>
        </w:rPr>
        <w:t> </w:t>
      </w:r>
      <w:r>
        <w:rPr>
          <w:rFonts w:ascii="Arial" w:hAnsi="Arial"/>
          <w:i/>
          <w:color w:val="231F20"/>
          <w:sz w:val="14"/>
        </w:rPr>
        <w:t>Vienna,</w:t>
      </w:r>
    </w:p>
    <w:p>
      <w:pPr>
        <w:spacing w:line="159" w:lineRule="exact" w:before="0"/>
        <w:ind w:left="173" w:right="0" w:firstLine="0"/>
        <w:jc w:val="left"/>
        <w:rPr>
          <w:rFonts w:ascii="Arial"/>
          <w:i/>
          <w:sz w:val="14"/>
        </w:rPr>
      </w:pPr>
      <w:r>
        <w:rPr>
          <w:rFonts w:ascii="Arial"/>
          <w:i/>
          <w:color w:val="231F20"/>
          <w:sz w:val="14"/>
        </w:rPr>
        <w:t>Vienna,</w:t>
      </w:r>
      <w:r>
        <w:rPr>
          <w:rFonts w:ascii="Arial"/>
          <w:i/>
          <w:color w:val="231F20"/>
          <w:spacing w:val="-22"/>
          <w:sz w:val="14"/>
        </w:rPr>
        <w:t> </w:t>
      </w:r>
      <w:r>
        <w:rPr>
          <w:rFonts w:ascii="Arial"/>
          <w:i/>
          <w:color w:val="231F20"/>
          <w:sz w:val="14"/>
        </w:rPr>
        <w:t>Austria,</w:t>
      </w:r>
      <w:r>
        <w:rPr>
          <w:rFonts w:ascii="Arial"/>
          <w:i/>
          <w:color w:val="231F20"/>
          <w:spacing w:val="-22"/>
          <w:sz w:val="14"/>
        </w:rPr>
        <w:t> </w:t>
      </w:r>
      <w:r>
        <w:rPr>
          <w:rFonts w:ascii="Arial"/>
          <w:i/>
          <w:color w:val="231F20"/>
          <w:position w:val="5"/>
          <w:sz w:val="8"/>
        </w:rPr>
        <w:t>8</w:t>
      </w:r>
      <w:r>
        <w:rPr>
          <w:rFonts w:ascii="Arial"/>
          <w:i/>
          <w:color w:val="231F20"/>
          <w:spacing w:val="-8"/>
          <w:position w:val="5"/>
          <w:sz w:val="8"/>
        </w:rPr>
        <w:t> </w:t>
      </w:r>
      <w:r>
        <w:rPr>
          <w:rFonts w:ascii="Arial"/>
          <w:i/>
          <w:color w:val="231F20"/>
          <w:sz w:val="14"/>
        </w:rPr>
        <w:t>Foundation</w:t>
      </w:r>
      <w:r>
        <w:rPr>
          <w:rFonts w:ascii="Arial"/>
          <w:i/>
          <w:color w:val="231F20"/>
          <w:spacing w:val="-22"/>
          <w:sz w:val="14"/>
        </w:rPr>
        <w:t> </w:t>
      </w:r>
      <w:r>
        <w:rPr>
          <w:rFonts w:ascii="Arial"/>
          <w:i/>
          <w:color w:val="231F20"/>
          <w:sz w:val="14"/>
        </w:rPr>
        <w:t>for</w:t>
      </w:r>
      <w:r>
        <w:rPr>
          <w:rFonts w:ascii="Arial"/>
          <w:i/>
          <w:color w:val="231F20"/>
          <w:spacing w:val="-22"/>
          <w:sz w:val="14"/>
        </w:rPr>
        <w:t> </w:t>
      </w:r>
      <w:r>
        <w:rPr>
          <w:rFonts w:ascii="Arial"/>
          <w:i/>
          <w:color w:val="231F20"/>
          <w:sz w:val="14"/>
        </w:rPr>
        <w:t>Research</w:t>
      </w:r>
      <w:r>
        <w:rPr>
          <w:rFonts w:ascii="Arial"/>
          <w:i/>
          <w:color w:val="231F20"/>
          <w:spacing w:val="-22"/>
          <w:sz w:val="14"/>
        </w:rPr>
        <w:t> </w:t>
      </w:r>
      <w:r>
        <w:rPr>
          <w:rFonts w:ascii="Arial"/>
          <w:i/>
          <w:color w:val="231F20"/>
          <w:sz w:val="14"/>
        </w:rPr>
        <w:t>on</w:t>
      </w:r>
      <w:r>
        <w:rPr>
          <w:rFonts w:ascii="Arial"/>
          <w:i/>
          <w:color w:val="231F20"/>
          <w:spacing w:val="-21"/>
          <w:sz w:val="14"/>
        </w:rPr>
        <w:t> </w:t>
      </w:r>
      <w:r>
        <w:rPr>
          <w:rFonts w:ascii="Arial"/>
          <w:i/>
          <w:color w:val="231F20"/>
          <w:sz w:val="14"/>
        </w:rPr>
        <w:t>Information</w:t>
      </w:r>
      <w:r>
        <w:rPr>
          <w:rFonts w:ascii="Arial"/>
          <w:i/>
          <w:color w:val="231F20"/>
          <w:spacing w:val="-22"/>
          <w:sz w:val="14"/>
        </w:rPr>
        <w:t> </w:t>
      </w:r>
      <w:r>
        <w:rPr>
          <w:rFonts w:ascii="Arial"/>
          <w:i/>
          <w:color w:val="231F20"/>
          <w:sz w:val="14"/>
        </w:rPr>
        <w:t>Technologies</w:t>
      </w:r>
      <w:r>
        <w:rPr>
          <w:rFonts w:ascii="Arial"/>
          <w:i/>
          <w:color w:val="231F20"/>
          <w:spacing w:val="-22"/>
          <w:sz w:val="14"/>
        </w:rPr>
        <w:t> </w:t>
      </w:r>
      <w:r>
        <w:rPr>
          <w:rFonts w:ascii="Arial"/>
          <w:i/>
          <w:color w:val="231F20"/>
          <w:sz w:val="14"/>
        </w:rPr>
        <w:t>in</w:t>
      </w:r>
      <w:r>
        <w:rPr>
          <w:rFonts w:ascii="Arial"/>
          <w:i/>
          <w:color w:val="231F20"/>
          <w:spacing w:val="-21"/>
          <w:sz w:val="14"/>
        </w:rPr>
        <w:t> </w:t>
      </w:r>
      <w:r>
        <w:rPr>
          <w:rFonts w:ascii="Arial"/>
          <w:i/>
          <w:color w:val="231F20"/>
          <w:sz w:val="14"/>
        </w:rPr>
        <w:t>Society,</w:t>
      </w:r>
      <w:r>
        <w:rPr>
          <w:rFonts w:ascii="Arial"/>
          <w:i/>
          <w:color w:val="231F20"/>
          <w:spacing w:val="-22"/>
          <w:sz w:val="14"/>
        </w:rPr>
        <w:t> </w:t>
      </w:r>
      <w:r>
        <w:rPr>
          <w:rFonts w:ascii="Arial"/>
          <w:i/>
          <w:color w:val="231F20"/>
          <w:sz w:val="14"/>
        </w:rPr>
        <w:t>Zurich,</w:t>
      </w:r>
      <w:r>
        <w:rPr>
          <w:rFonts w:ascii="Arial"/>
          <w:i/>
          <w:color w:val="231F20"/>
          <w:spacing w:val="-22"/>
          <w:sz w:val="14"/>
        </w:rPr>
        <w:t> </w:t>
      </w:r>
      <w:r>
        <w:rPr>
          <w:rFonts w:ascii="Arial"/>
          <w:i/>
          <w:color w:val="231F20"/>
          <w:sz w:val="14"/>
        </w:rPr>
        <w:t>Switzerland,</w:t>
      </w:r>
      <w:r>
        <w:rPr>
          <w:rFonts w:ascii="Arial"/>
          <w:i/>
          <w:color w:val="231F20"/>
          <w:spacing w:val="-22"/>
          <w:sz w:val="14"/>
        </w:rPr>
        <w:t> </w:t>
      </w:r>
      <w:r>
        <w:rPr>
          <w:rFonts w:ascii="Arial"/>
          <w:i/>
          <w:color w:val="231F20"/>
          <w:position w:val="5"/>
          <w:sz w:val="8"/>
        </w:rPr>
        <w:t>9</w:t>
      </w:r>
      <w:r>
        <w:rPr>
          <w:rFonts w:ascii="Arial"/>
          <w:i/>
          <w:color w:val="231F20"/>
          <w:spacing w:val="-8"/>
          <w:position w:val="5"/>
          <w:sz w:val="8"/>
        </w:rPr>
        <w:t> </w:t>
      </w:r>
      <w:r>
        <w:rPr>
          <w:rFonts w:ascii="Arial"/>
          <w:i/>
          <w:color w:val="231F20"/>
          <w:sz w:val="14"/>
        </w:rPr>
        <w:t>Department</w:t>
      </w:r>
    </w:p>
    <w:p>
      <w:pPr>
        <w:spacing w:line="297" w:lineRule="auto" w:before="39"/>
        <w:ind w:left="173" w:right="345" w:firstLine="0"/>
        <w:jc w:val="left"/>
        <w:rPr>
          <w:rFonts w:ascii="Arial"/>
          <w:i/>
          <w:sz w:val="14"/>
        </w:rPr>
      </w:pPr>
      <w:r>
        <w:rPr>
          <w:rFonts w:ascii="Arial"/>
          <w:i/>
          <w:color w:val="231F20"/>
          <w:sz w:val="14"/>
        </w:rPr>
        <w:t>of</w:t>
      </w:r>
      <w:r>
        <w:rPr>
          <w:rFonts w:ascii="Arial"/>
          <w:i/>
          <w:color w:val="231F20"/>
          <w:spacing w:val="-24"/>
          <w:sz w:val="14"/>
        </w:rPr>
        <w:t> </w:t>
      </w:r>
      <w:r>
        <w:rPr>
          <w:rFonts w:ascii="Arial"/>
          <w:i/>
          <w:color w:val="231F20"/>
          <w:sz w:val="14"/>
        </w:rPr>
        <w:t>Information</w:t>
      </w:r>
      <w:r>
        <w:rPr>
          <w:rFonts w:ascii="Arial"/>
          <w:i/>
          <w:color w:val="231F20"/>
          <w:spacing w:val="-24"/>
          <w:sz w:val="14"/>
        </w:rPr>
        <w:t> </w:t>
      </w:r>
      <w:r>
        <w:rPr>
          <w:rFonts w:ascii="Arial"/>
          <w:i/>
          <w:color w:val="231F20"/>
          <w:spacing w:val="-3"/>
          <w:sz w:val="14"/>
        </w:rPr>
        <w:t>Technology,</w:t>
      </w:r>
      <w:r>
        <w:rPr>
          <w:rFonts w:ascii="Arial"/>
          <w:i/>
          <w:color w:val="231F20"/>
          <w:spacing w:val="-23"/>
          <w:sz w:val="14"/>
        </w:rPr>
        <w:t> </w:t>
      </w:r>
      <w:r>
        <w:rPr>
          <w:rFonts w:ascii="Arial"/>
          <w:i/>
          <w:color w:val="231F20"/>
          <w:sz w:val="14"/>
        </w:rPr>
        <w:t>Ghent</w:t>
      </w:r>
      <w:r>
        <w:rPr>
          <w:rFonts w:ascii="Arial"/>
          <w:i/>
          <w:color w:val="231F20"/>
          <w:spacing w:val="-24"/>
          <w:sz w:val="14"/>
        </w:rPr>
        <w:t> </w:t>
      </w:r>
      <w:r>
        <w:rPr>
          <w:rFonts w:ascii="Arial"/>
          <w:i/>
          <w:color w:val="231F20"/>
          <w:sz w:val="14"/>
        </w:rPr>
        <w:t>University/IMEC,</w:t>
      </w:r>
      <w:r>
        <w:rPr>
          <w:rFonts w:ascii="Arial"/>
          <w:i/>
          <w:color w:val="231F20"/>
          <w:spacing w:val="-24"/>
          <w:sz w:val="14"/>
        </w:rPr>
        <w:t> </w:t>
      </w:r>
      <w:r>
        <w:rPr>
          <w:rFonts w:ascii="Arial"/>
          <w:i/>
          <w:color w:val="231F20"/>
          <w:sz w:val="14"/>
        </w:rPr>
        <w:t>Ghent,</w:t>
      </w:r>
      <w:r>
        <w:rPr>
          <w:rFonts w:ascii="Arial"/>
          <w:i/>
          <w:color w:val="231F20"/>
          <w:spacing w:val="-23"/>
          <w:sz w:val="14"/>
        </w:rPr>
        <w:t> </w:t>
      </w:r>
      <w:r>
        <w:rPr>
          <w:rFonts w:ascii="Arial"/>
          <w:i/>
          <w:color w:val="231F20"/>
          <w:sz w:val="14"/>
        </w:rPr>
        <w:t>Belgium,</w:t>
      </w:r>
      <w:r>
        <w:rPr>
          <w:rFonts w:ascii="Arial"/>
          <w:i/>
          <w:color w:val="231F20"/>
          <w:spacing w:val="-24"/>
          <w:sz w:val="14"/>
        </w:rPr>
        <w:t> </w:t>
      </w:r>
      <w:r>
        <w:rPr>
          <w:rFonts w:ascii="Arial"/>
          <w:i/>
          <w:color w:val="231F20"/>
          <w:position w:val="5"/>
          <w:sz w:val="8"/>
        </w:rPr>
        <w:t>10</w:t>
      </w:r>
      <w:r>
        <w:rPr>
          <w:rFonts w:ascii="Arial"/>
          <w:i/>
          <w:color w:val="231F20"/>
          <w:spacing w:val="-10"/>
          <w:position w:val="5"/>
          <w:sz w:val="8"/>
        </w:rPr>
        <w:t> </w:t>
      </w:r>
      <w:r>
        <w:rPr>
          <w:rFonts w:ascii="Arial"/>
          <w:i/>
          <w:color w:val="231F20"/>
          <w:sz w:val="14"/>
        </w:rPr>
        <w:t>Biomedical</w:t>
      </w:r>
      <w:r>
        <w:rPr>
          <w:rFonts w:ascii="Arial"/>
          <w:i/>
          <w:color w:val="231F20"/>
          <w:spacing w:val="-23"/>
          <w:sz w:val="14"/>
        </w:rPr>
        <w:t> </w:t>
      </w:r>
      <w:r>
        <w:rPr>
          <w:rFonts w:ascii="Arial"/>
          <w:i/>
          <w:color w:val="231F20"/>
          <w:sz w:val="14"/>
        </w:rPr>
        <w:t>Engineering</w:t>
      </w:r>
      <w:r>
        <w:rPr>
          <w:rFonts w:ascii="Arial"/>
          <w:i/>
          <w:color w:val="231F20"/>
          <w:spacing w:val="-24"/>
          <w:sz w:val="14"/>
        </w:rPr>
        <w:t> </w:t>
      </w:r>
      <w:r>
        <w:rPr>
          <w:rFonts w:ascii="Arial"/>
          <w:i/>
          <w:color w:val="231F20"/>
          <w:sz w:val="14"/>
        </w:rPr>
        <w:t>Institute,</w:t>
      </w:r>
      <w:r>
        <w:rPr>
          <w:rFonts w:ascii="Arial"/>
          <w:i/>
          <w:color w:val="231F20"/>
          <w:spacing w:val="-24"/>
          <w:sz w:val="14"/>
        </w:rPr>
        <w:t> </w:t>
      </w:r>
      <w:r>
        <w:rPr>
          <w:rFonts w:ascii="Arial"/>
          <w:i/>
          <w:color w:val="231F20"/>
          <w:sz w:val="14"/>
        </w:rPr>
        <w:t>Kaunas</w:t>
      </w:r>
      <w:r>
        <w:rPr>
          <w:rFonts w:ascii="Arial"/>
          <w:i/>
          <w:color w:val="231F20"/>
          <w:spacing w:val="-23"/>
          <w:sz w:val="14"/>
        </w:rPr>
        <w:t> </w:t>
      </w:r>
      <w:r>
        <w:rPr>
          <w:rFonts w:ascii="Arial"/>
          <w:i/>
          <w:color w:val="231F20"/>
          <w:sz w:val="14"/>
        </w:rPr>
        <w:t>University </w:t>
      </w:r>
      <w:r>
        <w:rPr>
          <w:rFonts w:ascii="Arial"/>
          <w:i/>
          <w:color w:val="231F20"/>
          <w:sz w:val="14"/>
        </w:rPr>
        <w:t>of</w:t>
      </w:r>
      <w:r>
        <w:rPr>
          <w:rFonts w:ascii="Arial"/>
          <w:i/>
          <w:color w:val="231F20"/>
          <w:spacing w:val="-16"/>
          <w:sz w:val="14"/>
        </w:rPr>
        <w:t> </w:t>
      </w:r>
      <w:r>
        <w:rPr>
          <w:rFonts w:ascii="Arial"/>
          <w:i/>
          <w:color w:val="231F20"/>
          <w:spacing w:val="-3"/>
          <w:sz w:val="14"/>
        </w:rPr>
        <w:t>Technology,</w:t>
      </w:r>
      <w:r>
        <w:rPr>
          <w:rFonts w:ascii="Arial"/>
          <w:i/>
          <w:color w:val="231F20"/>
          <w:spacing w:val="-15"/>
          <w:sz w:val="14"/>
        </w:rPr>
        <w:t> </w:t>
      </w:r>
      <w:r>
        <w:rPr>
          <w:rFonts w:ascii="Arial"/>
          <w:i/>
          <w:color w:val="231F20"/>
          <w:sz w:val="14"/>
        </w:rPr>
        <w:t>Kaunas,</w:t>
      </w:r>
      <w:r>
        <w:rPr>
          <w:rFonts w:ascii="Arial"/>
          <w:i/>
          <w:color w:val="231F20"/>
          <w:spacing w:val="-15"/>
          <w:sz w:val="14"/>
        </w:rPr>
        <w:t> </w:t>
      </w:r>
      <w:r>
        <w:rPr>
          <w:rFonts w:ascii="Arial"/>
          <w:i/>
          <w:color w:val="231F20"/>
          <w:sz w:val="14"/>
        </w:rPr>
        <w:t>Lithuania,</w:t>
      </w:r>
      <w:r>
        <w:rPr>
          <w:rFonts w:ascii="Arial"/>
          <w:i/>
          <w:color w:val="231F20"/>
          <w:spacing w:val="-16"/>
          <w:sz w:val="14"/>
        </w:rPr>
        <w:t> </w:t>
      </w:r>
      <w:r>
        <w:rPr>
          <w:rFonts w:ascii="Arial"/>
          <w:i/>
          <w:color w:val="231F20"/>
          <w:position w:val="5"/>
          <w:sz w:val="8"/>
        </w:rPr>
        <w:t>11</w:t>
      </w:r>
      <w:r>
        <w:rPr>
          <w:rFonts w:ascii="Arial"/>
          <w:i/>
          <w:color w:val="231F20"/>
          <w:spacing w:val="-2"/>
          <w:position w:val="5"/>
          <w:sz w:val="8"/>
        </w:rPr>
        <w:t> </w:t>
      </w:r>
      <w:r>
        <w:rPr>
          <w:rFonts w:ascii="Arial"/>
          <w:i/>
          <w:color w:val="231F20"/>
          <w:sz w:val="14"/>
        </w:rPr>
        <w:t>Faculty</w:t>
      </w:r>
      <w:r>
        <w:rPr>
          <w:rFonts w:ascii="Arial"/>
          <w:i/>
          <w:color w:val="231F20"/>
          <w:spacing w:val="-15"/>
          <w:sz w:val="14"/>
        </w:rPr>
        <w:t> </w:t>
      </w:r>
      <w:r>
        <w:rPr>
          <w:rFonts w:ascii="Arial"/>
          <w:i/>
          <w:color w:val="231F20"/>
          <w:sz w:val="14"/>
        </w:rPr>
        <w:t>of</w:t>
      </w:r>
      <w:r>
        <w:rPr>
          <w:rFonts w:ascii="Arial"/>
          <w:i/>
          <w:color w:val="231F20"/>
          <w:spacing w:val="-16"/>
          <w:sz w:val="14"/>
        </w:rPr>
        <w:t> </w:t>
      </w:r>
      <w:r>
        <w:rPr>
          <w:rFonts w:ascii="Arial"/>
          <w:i/>
          <w:color w:val="231F20"/>
          <w:sz w:val="14"/>
        </w:rPr>
        <w:t>Electrical</w:t>
      </w:r>
      <w:r>
        <w:rPr>
          <w:rFonts w:ascii="Arial"/>
          <w:i/>
          <w:color w:val="231F20"/>
          <w:spacing w:val="-15"/>
          <w:sz w:val="14"/>
        </w:rPr>
        <w:t> </w:t>
      </w:r>
      <w:r>
        <w:rPr>
          <w:rFonts w:ascii="Arial"/>
          <w:i/>
          <w:color w:val="231F20"/>
          <w:sz w:val="14"/>
        </w:rPr>
        <w:t>Engineering,</w:t>
      </w:r>
      <w:r>
        <w:rPr>
          <w:rFonts w:ascii="Arial"/>
          <w:i/>
          <w:color w:val="231F20"/>
          <w:spacing w:val="-15"/>
          <w:sz w:val="14"/>
        </w:rPr>
        <w:t> </w:t>
      </w:r>
      <w:r>
        <w:rPr>
          <w:rFonts w:ascii="Arial"/>
          <w:i/>
          <w:color w:val="231F20"/>
          <w:sz w:val="14"/>
        </w:rPr>
        <w:t>Mechanical</w:t>
      </w:r>
      <w:r>
        <w:rPr>
          <w:rFonts w:ascii="Arial"/>
          <w:i/>
          <w:color w:val="231F20"/>
          <w:spacing w:val="-16"/>
          <w:sz w:val="14"/>
        </w:rPr>
        <w:t> </w:t>
      </w:r>
      <w:r>
        <w:rPr>
          <w:rFonts w:ascii="Arial"/>
          <w:i/>
          <w:color w:val="231F20"/>
          <w:sz w:val="14"/>
        </w:rPr>
        <w:t>Engineering</w:t>
      </w:r>
      <w:r>
        <w:rPr>
          <w:rFonts w:ascii="Arial"/>
          <w:i/>
          <w:color w:val="231F20"/>
          <w:spacing w:val="-15"/>
          <w:sz w:val="14"/>
        </w:rPr>
        <w:t> </w:t>
      </w:r>
      <w:r>
        <w:rPr>
          <w:rFonts w:ascii="Arial"/>
          <w:i/>
          <w:color w:val="231F20"/>
          <w:sz w:val="14"/>
        </w:rPr>
        <w:t>and</w:t>
      </w:r>
      <w:r>
        <w:rPr>
          <w:rFonts w:ascii="Arial"/>
          <w:i/>
          <w:color w:val="231F20"/>
          <w:spacing w:val="-15"/>
          <w:sz w:val="14"/>
        </w:rPr>
        <w:t> </w:t>
      </w:r>
      <w:r>
        <w:rPr>
          <w:rFonts w:ascii="Arial"/>
          <w:i/>
          <w:color w:val="231F20"/>
          <w:sz w:val="14"/>
        </w:rPr>
        <w:t>Naval</w:t>
      </w:r>
      <w:r>
        <w:rPr>
          <w:rFonts w:ascii="Arial"/>
          <w:i/>
          <w:color w:val="231F20"/>
          <w:spacing w:val="-15"/>
          <w:sz w:val="14"/>
        </w:rPr>
        <w:t> </w:t>
      </w:r>
      <w:r>
        <w:rPr>
          <w:rFonts w:ascii="Arial"/>
          <w:i/>
          <w:color w:val="231F20"/>
          <w:sz w:val="14"/>
        </w:rPr>
        <w:t>Architecture,</w:t>
      </w:r>
    </w:p>
    <w:p>
      <w:pPr>
        <w:spacing w:line="297" w:lineRule="auto" w:before="0"/>
        <w:ind w:left="173" w:right="654" w:firstLine="0"/>
        <w:jc w:val="left"/>
        <w:rPr>
          <w:rFonts w:ascii="Arial" w:hAnsi="Arial"/>
          <w:i/>
          <w:sz w:val="14"/>
        </w:rPr>
      </w:pPr>
      <w:r>
        <w:rPr>
          <w:rFonts w:ascii="Arial" w:hAnsi="Arial"/>
          <w:i/>
          <w:color w:val="231F20"/>
          <w:sz w:val="14"/>
        </w:rPr>
        <w:t>University</w:t>
      </w:r>
      <w:r>
        <w:rPr>
          <w:rFonts w:ascii="Arial" w:hAnsi="Arial"/>
          <w:i/>
          <w:color w:val="231F20"/>
          <w:spacing w:val="-15"/>
          <w:sz w:val="14"/>
        </w:rPr>
        <w:t> </w:t>
      </w:r>
      <w:r>
        <w:rPr>
          <w:rFonts w:ascii="Arial" w:hAnsi="Arial"/>
          <w:i/>
          <w:color w:val="231F20"/>
          <w:sz w:val="14"/>
        </w:rPr>
        <w:t>of</w:t>
      </w:r>
      <w:r>
        <w:rPr>
          <w:rFonts w:ascii="Arial" w:hAnsi="Arial"/>
          <w:i/>
          <w:color w:val="231F20"/>
          <w:spacing w:val="-15"/>
          <w:sz w:val="14"/>
        </w:rPr>
        <w:t> </w:t>
      </w:r>
      <w:r>
        <w:rPr>
          <w:rFonts w:ascii="Arial" w:hAnsi="Arial"/>
          <w:i/>
          <w:color w:val="231F20"/>
          <w:sz w:val="14"/>
        </w:rPr>
        <w:t>Split,</w:t>
      </w:r>
      <w:r>
        <w:rPr>
          <w:rFonts w:ascii="Arial" w:hAnsi="Arial"/>
          <w:i/>
          <w:color w:val="231F20"/>
          <w:spacing w:val="-15"/>
          <w:sz w:val="14"/>
        </w:rPr>
        <w:t> </w:t>
      </w:r>
      <w:r>
        <w:rPr>
          <w:rFonts w:ascii="Arial" w:hAnsi="Arial"/>
          <w:i/>
          <w:color w:val="231F20"/>
          <w:sz w:val="14"/>
        </w:rPr>
        <w:t>Split,</w:t>
      </w:r>
      <w:r>
        <w:rPr>
          <w:rFonts w:ascii="Arial" w:hAnsi="Arial"/>
          <w:i/>
          <w:color w:val="231F20"/>
          <w:spacing w:val="-15"/>
          <w:sz w:val="14"/>
        </w:rPr>
        <w:t> </w:t>
      </w:r>
      <w:r>
        <w:rPr>
          <w:rFonts w:ascii="Arial" w:hAnsi="Arial"/>
          <w:i/>
          <w:color w:val="231F20"/>
          <w:sz w:val="14"/>
        </w:rPr>
        <w:t>Croatia,</w:t>
      </w:r>
      <w:r>
        <w:rPr>
          <w:rFonts w:ascii="Arial" w:hAnsi="Arial"/>
          <w:i/>
          <w:color w:val="231F20"/>
          <w:spacing w:val="-15"/>
          <w:sz w:val="14"/>
        </w:rPr>
        <w:t> </w:t>
      </w:r>
      <w:r>
        <w:rPr>
          <w:rFonts w:ascii="Arial" w:hAnsi="Arial"/>
          <w:i/>
          <w:color w:val="231F20"/>
          <w:position w:val="5"/>
          <w:sz w:val="8"/>
        </w:rPr>
        <w:t>12</w:t>
      </w:r>
      <w:r>
        <w:rPr>
          <w:rFonts w:ascii="Arial" w:hAnsi="Arial"/>
          <w:i/>
          <w:color w:val="231F20"/>
          <w:spacing w:val="-2"/>
          <w:position w:val="5"/>
          <w:sz w:val="8"/>
        </w:rPr>
        <w:t> </w:t>
      </w:r>
      <w:r>
        <w:rPr>
          <w:rFonts w:ascii="Arial" w:hAnsi="Arial"/>
          <w:i/>
          <w:color w:val="231F20"/>
          <w:sz w:val="14"/>
        </w:rPr>
        <w:t>Nalecz</w:t>
      </w:r>
      <w:r>
        <w:rPr>
          <w:rFonts w:ascii="Arial" w:hAnsi="Arial"/>
          <w:i/>
          <w:color w:val="231F20"/>
          <w:spacing w:val="-15"/>
          <w:sz w:val="14"/>
        </w:rPr>
        <w:t> </w:t>
      </w:r>
      <w:r>
        <w:rPr>
          <w:rFonts w:ascii="Arial" w:hAnsi="Arial"/>
          <w:i/>
          <w:color w:val="231F20"/>
          <w:sz w:val="14"/>
        </w:rPr>
        <w:t>Institute</w:t>
      </w:r>
      <w:r>
        <w:rPr>
          <w:rFonts w:ascii="Arial" w:hAnsi="Arial"/>
          <w:i/>
          <w:color w:val="231F20"/>
          <w:spacing w:val="-15"/>
          <w:sz w:val="14"/>
        </w:rPr>
        <w:t> </w:t>
      </w:r>
      <w:r>
        <w:rPr>
          <w:rFonts w:ascii="Arial" w:hAnsi="Arial"/>
          <w:i/>
          <w:color w:val="231F20"/>
          <w:sz w:val="14"/>
        </w:rPr>
        <w:t>of</w:t>
      </w:r>
      <w:r>
        <w:rPr>
          <w:rFonts w:ascii="Arial" w:hAnsi="Arial"/>
          <w:i/>
          <w:color w:val="231F20"/>
          <w:spacing w:val="-14"/>
          <w:sz w:val="14"/>
        </w:rPr>
        <w:t> </w:t>
      </w:r>
      <w:r>
        <w:rPr>
          <w:rFonts w:ascii="Arial" w:hAnsi="Arial"/>
          <w:i/>
          <w:color w:val="231F20"/>
          <w:sz w:val="14"/>
        </w:rPr>
        <w:t>Biocybernetics</w:t>
      </w:r>
      <w:r>
        <w:rPr>
          <w:rFonts w:ascii="Arial" w:hAnsi="Arial"/>
          <w:i/>
          <w:color w:val="231F20"/>
          <w:spacing w:val="-15"/>
          <w:sz w:val="14"/>
        </w:rPr>
        <w:t> </w:t>
      </w:r>
      <w:r>
        <w:rPr>
          <w:rFonts w:ascii="Arial" w:hAnsi="Arial"/>
          <w:i/>
          <w:color w:val="231F20"/>
          <w:sz w:val="14"/>
        </w:rPr>
        <w:t>and</w:t>
      </w:r>
      <w:r>
        <w:rPr>
          <w:rFonts w:ascii="Arial" w:hAnsi="Arial"/>
          <w:i/>
          <w:color w:val="231F20"/>
          <w:spacing w:val="-15"/>
          <w:sz w:val="14"/>
        </w:rPr>
        <w:t> </w:t>
      </w:r>
      <w:r>
        <w:rPr>
          <w:rFonts w:ascii="Arial" w:hAnsi="Arial"/>
          <w:i/>
          <w:color w:val="231F20"/>
          <w:sz w:val="14"/>
        </w:rPr>
        <w:t>Biomedical</w:t>
      </w:r>
      <w:r>
        <w:rPr>
          <w:rFonts w:ascii="Arial" w:hAnsi="Arial"/>
          <w:i/>
          <w:color w:val="231F20"/>
          <w:spacing w:val="-15"/>
          <w:sz w:val="14"/>
        </w:rPr>
        <w:t> </w:t>
      </w:r>
      <w:r>
        <w:rPr>
          <w:rFonts w:ascii="Arial" w:hAnsi="Arial"/>
          <w:i/>
          <w:color w:val="231F20"/>
          <w:sz w:val="14"/>
        </w:rPr>
        <w:t>Engineering,</w:t>
      </w:r>
      <w:r>
        <w:rPr>
          <w:rFonts w:ascii="Arial" w:hAnsi="Arial"/>
          <w:i/>
          <w:color w:val="231F20"/>
          <w:spacing w:val="-15"/>
          <w:sz w:val="14"/>
        </w:rPr>
        <w:t> </w:t>
      </w:r>
      <w:r>
        <w:rPr>
          <w:rFonts w:ascii="Arial" w:hAnsi="Arial"/>
          <w:i/>
          <w:color w:val="231F20"/>
          <w:sz w:val="14"/>
        </w:rPr>
        <w:t>Polish</w:t>
      </w:r>
      <w:r>
        <w:rPr>
          <w:rFonts w:ascii="Arial" w:hAnsi="Arial"/>
          <w:i/>
          <w:color w:val="231F20"/>
          <w:spacing w:val="-15"/>
          <w:sz w:val="14"/>
        </w:rPr>
        <w:t> </w:t>
      </w:r>
      <w:r>
        <w:rPr>
          <w:rFonts w:ascii="Arial" w:hAnsi="Arial"/>
          <w:i/>
          <w:color w:val="231F20"/>
          <w:sz w:val="14"/>
        </w:rPr>
        <w:t>Academy </w:t>
      </w:r>
      <w:r>
        <w:rPr>
          <w:rFonts w:ascii="Arial" w:hAnsi="Arial"/>
          <w:i/>
          <w:color w:val="231F20"/>
          <w:sz w:val="14"/>
        </w:rPr>
        <w:t>of</w:t>
      </w:r>
      <w:r>
        <w:rPr>
          <w:rFonts w:ascii="Arial" w:hAnsi="Arial"/>
          <w:i/>
          <w:color w:val="231F20"/>
          <w:spacing w:val="-20"/>
          <w:sz w:val="14"/>
        </w:rPr>
        <w:t> </w:t>
      </w:r>
      <w:r>
        <w:rPr>
          <w:rFonts w:ascii="Arial" w:hAnsi="Arial"/>
          <w:i/>
          <w:color w:val="231F20"/>
          <w:sz w:val="14"/>
        </w:rPr>
        <w:t>Sciences,</w:t>
      </w:r>
      <w:r>
        <w:rPr>
          <w:rFonts w:ascii="Arial" w:hAnsi="Arial"/>
          <w:i/>
          <w:color w:val="231F20"/>
          <w:spacing w:val="-20"/>
          <w:sz w:val="14"/>
        </w:rPr>
        <w:t> </w:t>
      </w:r>
      <w:r>
        <w:rPr>
          <w:rFonts w:ascii="Arial" w:hAnsi="Arial"/>
          <w:i/>
          <w:color w:val="231F20"/>
          <w:sz w:val="14"/>
        </w:rPr>
        <w:t>Warsaw,</w:t>
      </w:r>
      <w:r>
        <w:rPr>
          <w:rFonts w:ascii="Arial" w:hAnsi="Arial"/>
          <w:i/>
          <w:color w:val="231F20"/>
          <w:spacing w:val="-20"/>
          <w:sz w:val="14"/>
        </w:rPr>
        <w:t> </w:t>
      </w:r>
      <w:r>
        <w:rPr>
          <w:rFonts w:ascii="Arial" w:hAnsi="Arial"/>
          <w:i/>
          <w:color w:val="231F20"/>
          <w:sz w:val="14"/>
        </w:rPr>
        <w:t>Poland,</w:t>
      </w:r>
      <w:r>
        <w:rPr>
          <w:rFonts w:ascii="Arial" w:hAnsi="Arial"/>
          <w:i/>
          <w:color w:val="231F20"/>
          <w:spacing w:val="-19"/>
          <w:sz w:val="14"/>
        </w:rPr>
        <w:t> </w:t>
      </w:r>
      <w:r>
        <w:rPr>
          <w:rFonts w:ascii="Arial" w:hAnsi="Arial"/>
          <w:i/>
          <w:color w:val="231F20"/>
          <w:position w:val="5"/>
          <w:sz w:val="8"/>
        </w:rPr>
        <w:t>13</w:t>
      </w:r>
      <w:r>
        <w:rPr>
          <w:rFonts w:ascii="Arial" w:hAnsi="Arial"/>
          <w:i/>
          <w:color w:val="231F20"/>
          <w:spacing w:val="-7"/>
          <w:position w:val="5"/>
          <w:sz w:val="8"/>
        </w:rPr>
        <w:t> </w:t>
      </w:r>
      <w:r>
        <w:rPr>
          <w:rFonts w:ascii="Arial" w:hAnsi="Arial"/>
          <w:i/>
          <w:color w:val="231F20"/>
          <w:sz w:val="14"/>
        </w:rPr>
        <w:t>Sleep</w:t>
      </w:r>
      <w:r>
        <w:rPr>
          <w:rFonts w:ascii="Arial" w:hAnsi="Arial"/>
          <w:i/>
          <w:color w:val="231F20"/>
          <w:spacing w:val="-19"/>
          <w:sz w:val="14"/>
        </w:rPr>
        <w:t> </w:t>
      </w:r>
      <w:r>
        <w:rPr>
          <w:rFonts w:ascii="Arial" w:hAnsi="Arial"/>
          <w:i/>
          <w:color w:val="231F20"/>
          <w:sz w:val="14"/>
        </w:rPr>
        <w:t>Medicine</w:t>
      </w:r>
      <w:r>
        <w:rPr>
          <w:rFonts w:ascii="Arial" w:hAnsi="Arial"/>
          <w:i/>
          <w:color w:val="231F20"/>
          <w:spacing w:val="-20"/>
          <w:sz w:val="14"/>
        </w:rPr>
        <w:t> </w:t>
      </w:r>
      <w:r>
        <w:rPr>
          <w:rFonts w:ascii="Arial" w:hAnsi="Arial"/>
          <w:i/>
          <w:color w:val="231F20"/>
          <w:sz w:val="14"/>
        </w:rPr>
        <w:t>Centre,</w:t>
      </w:r>
      <w:r>
        <w:rPr>
          <w:rFonts w:ascii="Arial" w:hAnsi="Arial"/>
          <w:i/>
          <w:color w:val="231F20"/>
          <w:spacing w:val="-20"/>
          <w:sz w:val="14"/>
        </w:rPr>
        <w:t> </w:t>
      </w:r>
      <w:r>
        <w:rPr>
          <w:rFonts w:ascii="Arial" w:hAnsi="Arial"/>
          <w:i/>
          <w:color w:val="231F20"/>
          <w:sz w:val="14"/>
        </w:rPr>
        <w:t>Klaipeda</w:t>
      </w:r>
      <w:r>
        <w:rPr>
          <w:rFonts w:ascii="Arial" w:hAnsi="Arial"/>
          <w:i/>
          <w:color w:val="231F20"/>
          <w:spacing w:val="-20"/>
          <w:sz w:val="14"/>
        </w:rPr>
        <w:t> </w:t>
      </w:r>
      <w:r>
        <w:rPr>
          <w:rFonts w:ascii="Arial" w:hAnsi="Arial"/>
          <w:i/>
          <w:color w:val="231F20"/>
          <w:sz w:val="14"/>
        </w:rPr>
        <w:t>University</w:t>
      </w:r>
      <w:r>
        <w:rPr>
          <w:rFonts w:ascii="Arial" w:hAnsi="Arial"/>
          <w:i/>
          <w:color w:val="231F20"/>
          <w:spacing w:val="-19"/>
          <w:sz w:val="14"/>
        </w:rPr>
        <w:t> </w:t>
      </w:r>
      <w:r>
        <w:rPr>
          <w:rFonts w:ascii="Arial" w:hAnsi="Arial"/>
          <w:i/>
          <w:color w:val="231F20"/>
          <w:sz w:val="14"/>
        </w:rPr>
        <w:t>Hospital,</w:t>
      </w:r>
      <w:r>
        <w:rPr>
          <w:rFonts w:ascii="Arial" w:hAnsi="Arial"/>
          <w:i/>
          <w:color w:val="231F20"/>
          <w:spacing w:val="-20"/>
          <w:sz w:val="14"/>
        </w:rPr>
        <w:t> </w:t>
      </w:r>
      <w:r>
        <w:rPr>
          <w:rFonts w:ascii="Arial" w:hAnsi="Arial"/>
          <w:i/>
          <w:color w:val="231F20"/>
          <w:spacing w:val="-8"/>
          <w:sz w:val="14"/>
        </w:rPr>
        <w:t>Klaipe˙</w:t>
      </w:r>
      <w:r>
        <w:rPr>
          <w:rFonts w:ascii="Arial" w:hAnsi="Arial"/>
          <w:i/>
          <w:color w:val="231F20"/>
          <w:spacing w:val="-28"/>
          <w:sz w:val="14"/>
        </w:rPr>
        <w:t> </w:t>
      </w:r>
      <w:r>
        <w:rPr>
          <w:rFonts w:ascii="Arial" w:hAnsi="Arial"/>
          <w:i/>
          <w:color w:val="231F20"/>
          <w:sz w:val="14"/>
        </w:rPr>
        <w:t>da,</w:t>
      </w:r>
      <w:r>
        <w:rPr>
          <w:rFonts w:ascii="Arial" w:hAnsi="Arial"/>
          <w:i/>
          <w:color w:val="231F20"/>
          <w:spacing w:val="-19"/>
          <w:sz w:val="14"/>
        </w:rPr>
        <w:t> </w:t>
      </w:r>
      <w:r>
        <w:rPr>
          <w:rFonts w:ascii="Arial" w:hAnsi="Arial"/>
          <w:i/>
          <w:color w:val="231F20"/>
          <w:sz w:val="14"/>
        </w:rPr>
        <w:t>Lithuania,</w:t>
      </w:r>
      <w:r>
        <w:rPr>
          <w:rFonts w:ascii="Arial" w:hAnsi="Arial"/>
          <w:i/>
          <w:color w:val="231F20"/>
          <w:spacing w:val="-20"/>
          <w:sz w:val="14"/>
        </w:rPr>
        <w:t> </w:t>
      </w:r>
      <w:r>
        <w:rPr>
          <w:rFonts w:ascii="Arial" w:hAnsi="Arial"/>
          <w:i/>
          <w:color w:val="231F20"/>
          <w:position w:val="5"/>
          <w:sz w:val="8"/>
        </w:rPr>
        <w:t>14</w:t>
      </w:r>
      <w:r>
        <w:rPr>
          <w:rFonts w:ascii="Arial" w:hAnsi="Arial"/>
          <w:i/>
          <w:color w:val="231F20"/>
          <w:spacing w:val="-7"/>
          <w:position w:val="5"/>
          <w:sz w:val="8"/>
        </w:rPr>
        <w:t> </w:t>
      </w:r>
      <w:r>
        <w:rPr>
          <w:rFonts w:ascii="Arial" w:hAnsi="Arial"/>
          <w:i/>
          <w:color w:val="231F20"/>
          <w:sz w:val="14"/>
        </w:rPr>
        <w:t>Institute</w:t>
      </w:r>
    </w:p>
    <w:p>
      <w:pPr>
        <w:spacing w:line="297" w:lineRule="auto" w:before="0"/>
        <w:ind w:left="173" w:right="195" w:firstLine="0"/>
        <w:jc w:val="left"/>
        <w:rPr>
          <w:rFonts w:ascii="Arial"/>
          <w:i/>
          <w:sz w:val="14"/>
        </w:rPr>
      </w:pPr>
      <w:r>
        <w:rPr>
          <w:rFonts w:ascii="Arial"/>
          <w:i/>
          <w:color w:val="231F20"/>
          <w:sz w:val="14"/>
        </w:rPr>
        <w:t>of</w:t>
      </w:r>
      <w:r>
        <w:rPr>
          <w:rFonts w:ascii="Arial"/>
          <w:i/>
          <w:color w:val="231F20"/>
          <w:spacing w:val="-22"/>
          <w:sz w:val="14"/>
        </w:rPr>
        <w:t> </w:t>
      </w:r>
      <w:r>
        <w:rPr>
          <w:rFonts w:ascii="Arial"/>
          <w:i/>
          <w:color w:val="231F20"/>
          <w:sz w:val="14"/>
        </w:rPr>
        <w:t>Neuroscience,</w:t>
      </w:r>
      <w:r>
        <w:rPr>
          <w:rFonts w:ascii="Arial"/>
          <w:i/>
          <w:color w:val="231F20"/>
          <w:spacing w:val="-22"/>
          <w:sz w:val="14"/>
        </w:rPr>
        <w:t> </w:t>
      </w:r>
      <w:r>
        <w:rPr>
          <w:rFonts w:ascii="Arial"/>
          <w:i/>
          <w:color w:val="231F20"/>
          <w:sz w:val="14"/>
        </w:rPr>
        <w:t>Lithuanian</w:t>
      </w:r>
      <w:r>
        <w:rPr>
          <w:rFonts w:ascii="Arial"/>
          <w:i/>
          <w:color w:val="231F20"/>
          <w:spacing w:val="-22"/>
          <w:sz w:val="14"/>
        </w:rPr>
        <w:t> </w:t>
      </w:r>
      <w:r>
        <w:rPr>
          <w:rFonts w:ascii="Arial"/>
          <w:i/>
          <w:color w:val="231F20"/>
          <w:sz w:val="14"/>
        </w:rPr>
        <w:t>University</w:t>
      </w:r>
      <w:r>
        <w:rPr>
          <w:rFonts w:ascii="Arial"/>
          <w:i/>
          <w:color w:val="231F20"/>
          <w:spacing w:val="-22"/>
          <w:sz w:val="14"/>
        </w:rPr>
        <w:t> </w:t>
      </w:r>
      <w:r>
        <w:rPr>
          <w:rFonts w:ascii="Arial"/>
          <w:i/>
          <w:color w:val="231F20"/>
          <w:sz w:val="14"/>
        </w:rPr>
        <w:t>of</w:t>
      </w:r>
      <w:r>
        <w:rPr>
          <w:rFonts w:ascii="Arial"/>
          <w:i/>
          <w:color w:val="231F20"/>
          <w:spacing w:val="-22"/>
          <w:sz w:val="14"/>
        </w:rPr>
        <w:t> </w:t>
      </w:r>
      <w:r>
        <w:rPr>
          <w:rFonts w:ascii="Arial"/>
          <w:i/>
          <w:color w:val="231F20"/>
          <w:sz w:val="14"/>
        </w:rPr>
        <w:t>Health</w:t>
      </w:r>
      <w:r>
        <w:rPr>
          <w:rFonts w:ascii="Arial"/>
          <w:i/>
          <w:color w:val="231F20"/>
          <w:spacing w:val="-22"/>
          <w:sz w:val="14"/>
        </w:rPr>
        <w:t> </w:t>
      </w:r>
      <w:r>
        <w:rPr>
          <w:rFonts w:ascii="Arial"/>
          <w:i/>
          <w:color w:val="231F20"/>
          <w:sz w:val="14"/>
        </w:rPr>
        <w:t>Sciences,</w:t>
      </w:r>
      <w:r>
        <w:rPr>
          <w:rFonts w:ascii="Arial"/>
          <w:i/>
          <w:color w:val="231F20"/>
          <w:spacing w:val="-22"/>
          <w:sz w:val="14"/>
        </w:rPr>
        <w:t> </w:t>
      </w:r>
      <w:r>
        <w:rPr>
          <w:rFonts w:ascii="Arial"/>
          <w:i/>
          <w:color w:val="231F20"/>
          <w:sz w:val="14"/>
        </w:rPr>
        <w:t>Palanga,</w:t>
      </w:r>
      <w:r>
        <w:rPr>
          <w:rFonts w:ascii="Arial"/>
          <w:i/>
          <w:color w:val="231F20"/>
          <w:spacing w:val="-22"/>
          <w:sz w:val="14"/>
        </w:rPr>
        <w:t> </w:t>
      </w:r>
      <w:r>
        <w:rPr>
          <w:rFonts w:ascii="Arial"/>
          <w:i/>
          <w:color w:val="231F20"/>
          <w:sz w:val="14"/>
        </w:rPr>
        <w:t>Lithuania,</w:t>
      </w:r>
      <w:r>
        <w:rPr>
          <w:rFonts w:ascii="Arial"/>
          <w:i/>
          <w:color w:val="231F20"/>
          <w:spacing w:val="-21"/>
          <w:sz w:val="14"/>
        </w:rPr>
        <w:t> </w:t>
      </w:r>
      <w:r>
        <w:rPr>
          <w:rFonts w:ascii="Arial"/>
          <w:i/>
          <w:color w:val="231F20"/>
          <w:position w:val="5"/>
          <w:sz w:val="8"/>
        </w:rPr>
        <w:t>15</w:t>
      </w:r>
      <w:r>
        <w:rPr>
          <w:rFonts w:ascii="Arial"/>
          <w:i/>
          <w:color w:val="231F20"/>
          <w:spacing w:val="-9"/>
          <w:position w:val="5"/>
          <w:sz w:val="8"/>
        </w:rPr>
        <w:t> </w:t>
      </w:r>
      <w:r>
        <w:rPr>
          <w:rFonts w:ascii="Arial"/>
          <w:i/>
          <w:color w:val="231F20"/>
          <w:sz w:val="14"/>
        </w:rPr>
        <w:t>Department</w:t>
      </w:r>
      <w:r>
        <w:rPr>
          <w:rFonts w:ascii="Arial"/>
          <w:i/>
          <w:color w:val="231F20"/>
          <w:spacing w:val="-22"/>
          <w:sz w:val="14"/>
        </w:rPr>
        <w:t> </w:t>
      </w:r>
      <w:r>
        <w:rPr>
          <w:rFonts w:ascii="Arial"/>
          <w:i/>
          <w:color w:val="231F20"/>
          <w:sz w:val="14"/>
        </w:rPr>
        <w:t>for</w:t>
      </w:r>
      <w:r>
        <w:rPr>
          <w:rFonts w:ascii="Arial"/>
          <w:i/>
          <w:color w:val="231F20"/>
          <w:spacing w:val="-22"/>
          <w:sz w:val="14"/>
        </w:rPr>
        <w:t> </w:t>
      </w:r>
      <w:r>
        <w:rPr>
          <w:rFonts w:ascii="Arial"/>
          <w:i/>
          <w:color w:val="231F20"/>
          <w:sz w:val="14"/>
        </w:rPr>
        <w:t>Surgery,</w:t>
      </w:r>
      <w:r>
        <w:rPr>
          <w:rFonts w:ascii="Arial"/>
          <w:i/>
          <w:color w:val="231F20"/>
          <w:spacing w:val="-22"/>
          <w:sz w:val="14"/>
        </w:rPr>
        <w:t> </w:t>
      </w:r>
      <w:r>
        <w:rPr>
          <w:rFonts w:ascii="Arial"/>
          <w:i/>
          <w:color w:val="231F20"/>
          <w:sz w:val="14"/>
        </w:rPr>
        <w:t>Medical</w:t>
      </w:r>
      <w:r>
        <w:rPr>
          <w:rFonts w:ascii="Arial"/>
          <w:i/>
          <w:color w:val="231F20"/>
          <w:spacing w:val="-21"/>
          <w:sz w:val="14"/>
        </w:rPr>
        <w:t> </w:t>
      </w:r>
      <w:r>
        <w:rPr>
          <w:rFonts w:ascii="Arial"/>
          <w:i/>
          <w:color w:val="231F20"/>
          <w:sz w:val="14"/>
        </w:rPr>
        <w:t>University </w:t>
      </w:r>
      <w:r>
        <w:rPr>
          <w:rFonts w:ascii="Arial"/>
          <w:i/>
          <w:color w:val="231F20"/>
          <w:sz w:val="14"/>
        </w:rPr>
        <w:t>of Vienna, Vienna,</w:t>
      </w:r>
      <w:r>
        <w:rPr>
          <w:rFonts w:ascii="Arial"/>
          <w:i/>
          <w:color w:val="231F20"/>
          <w:spacing w:val="-2"/>
          <w:sz w:val="14"/>
        </w:rPr>
        <w:t> </w:t>
      </w:r>
      <w:r>
        <w:rPr>
          <w:rFonts w:ascii="Arial"/>
          <w:i/>
          <w:color w:val="231F20"/>
          <w:sz w:val="14"/>
        </w:rPr>
        <w:t>Austria</w:t>
      </w:r>
    </w:p>
    <w:p>
      <w:pPr>
        <w:pStyle w:val="BodyText"/>
        <w:ind w:left="0"/>
        <w:rPr>
          <w:rFonts w:ascii="Arial"/>
          <w:i/>
          <w:sz w:val="16"/>
        </w:rPr>
      </w:pPr>
    </w:p>
    <w:p>
      <w:pPr>
        <w:pStyle w:val="Heading2"/>
        <w:spacing w:line="290" w:lineRule="auto" w:before="113"/>
        <w:ind w:left="173" w:right="155"/>
        <w:jc w:val="both"/>
      </w:pPr>
      <w:r>
        <w:rPr>
          <w:color w:val="231F20"/>
        </w:rPr>
        <w:t>Electrical</w:t>
      </w:r>
      <w:r>
        <w:rPr>
          <w:color w:val="231F20"/>
          <w:spacing w:val="-28"/>
        </w:rPr>
        <w:t> </w:t>
      </w:r>
      <w:r>
        <w:rPr>
          <w:color w:val="231F20"/>
        </w:rPr>
        <w:t>stimulation</w:t>
      </w:r>
      <w:r>
        <w:rPr>
          <w:color w:val="231F20"/>
          <w:spacing w:val="-28"/>
        </w:rPr>
        <w:t> </w:t>
      </w:r>
      <w:r>
        <w:rPr>
          <w:color w:val="231F20"/>
        </w:rPr>
        <w:t>of</w:t>
      </w:r>
      <w:r>
        <w:rPr>
          <w:color w:val="231F20"/>
          <w:spacing w:val="-28"/>
        </w:rPr>
        <w:t> </w:t>
      </w:r>
      <w:r>
        <w:rPr>
          <w:color w:val="231F20"/>
        </w:rPr>
        <w:t>the</w:t>
      </w:r>
      <w:r>
        <w:rPr>
          <w:color w:val="231F20"/>
          <w:spacing w:val="-27"/>
        </w:rPr>
        <w:t> </w:t>
      </w:r>
      <w:r>
        <w:rPr>
          <w:color w:val="231F20"/>
        </w:rPr>
        <w:t>auricular</w:t>
      </w:r>
      <w:r>
        <w:rPr>
          <w:color w:val="231F20"/>
          <w:spacing w:val="-28"/>
        </w:rPr>
        <w:t> </w:t>
      </w:r>
      <w:r>
        <w:rPr>
          <w:color w:val="231F20"/>
        </w:rPr>
        <w:t>vagus</w:t>
      </w:r>
      <w:r>
        <w:rPr>
          <w:color w:val="231F20"/>
          <w:spacing w:val="-28"/>
        </w:rPr>
        <w:t> </w:t>
      </w:r>
      <w:r>
        <w:rPr>
          <w:color w:val="231F20"/>
        </w:rPr>
        <w:t>nerve</w:t>
      </w:r>
      <w:r>
        <w:rPr>
          <w:color w:val="231F20"/>
          <w:spacing w:val="-27"/>
        </w:rPr>
        <w:t> </w:t>
      </w:r>
      <w:r>
        <w:rPr>
          <w:color w:val="231F20"/>
        </w:rPr>
        <w:t>(aVNS)</w:t>
      </w:r>
      <w:r>
        <w:rPr>
          <w:color w:val="231F20"/>
          <w:spacing w:val="-28"/>
        </w:rPr>
        <w:t> </w:t>
      </w:r>
      <w:r>
        <w:rPr>
          <w:color w:val="231F20"/>
        </w:rPr>
        <w:t>is</w:t>
      </w:r>
      <w:r>
        <w:rPr>
          <w:color w:val="231F20"/>
          <w:spacing w:val="-28"/>
        </w:rPr>
        <w:t> </w:t>
      </w:r>
      <w:r>
        <w:rPr>
          <w:color w:val="231F20"/>
        </w:rPr>
        <w:t>an</w:t>
      </w:r>
      <w:r>
        <w:rPr>
          <w:color w:val="231F20"/>
          <w:spacing w:val="-27"/>
        </w:rPr>
        <w:t> </w:t>
      </w:r>
      <w:r>
        <w:rPr>
          <w:color w:val="231F20"/>
        </w:rPr>
        <w:t>emerging</w:t>
      </w:r>
      <w:r>
        <w:rPr>
          <w:color w:val="231F20"/>
          <w:spacing w:val="-28"/>
        </w:rPr>
        <w:t> </w:t>
      </w:r>
      <w:r>
        <w:rPr>
          <w:color w:val="231F20"/>
        </w:rPr>
        <w:t>electroceutical technology in the field of bioelectronic medicine with applications in </w:t>
      </w:r>
      <w:r>
        <w:rPr>
          <w:color w:val="231F20"/>
          <w:spacing w:val="-3"/>
        </w:rPr>
        <w:t>therapy. </w:t>
      </w:r>
      <w:r>
        <w:rPr>
          <w:color w:val="231F20"/>
        </w:rPr>
        <w:t>Artificial modulation</w:t>
      </w:r>
      <w:r>
        <w:rPr>
          <w:color w:val="231F20"/>
          <w:spacing w:val="-29"/>
        </w:rPr>
        <w:t> </w:t>
      </w:r>
      <w:r>
        <w:rPr>
          <w:color w:val="231F20"/>
        </w:rPr>
        <w:t>of</w:t>
      </w:r>
      <w:r>
        <w:rPr>
          <w:color w:val="231F20"/>
          <w:spacing w:val="-29"/>
        </w:rPr>
        <w:t> </w:t>
      </w:r>
      <w:r>
        <w:rPr>
          <w:color w:val="231F20"/>
        </w:rPr>
        <w:t>the</w:t>
      </w:r>
      <w:r>
        <w:rPr>
          <w:color w:val="231F20"/>
          <w:spacing w:val="-29"/>
        </w:rPr>
        <w:t> </w:t>
      </w:r>
      <w:r>
        <w:rPr>
          <w:color w:val="231F20"/>
        </w:rPr>
        <w:t>afferent</w:t>
      </w:r>
      <w:r>
        <w:rPr>
          <w:color w:val="231F20"/>
          <w:spacing w:val="-29"/>
        </w:rPr>
        <w:t> </w:t>
      </w:r>
      <w:r>
        <w:rPr>
          <w:color w:val="231F20"/>
        </w:rPr>
        <w:t>vagus</w:t>
      </w:r>
      <w:r>
        <w:rPr>
          <w:color w:val="231F20"/>
          <w:spacing w:val="-29"/>
        </w:rPr>
        <w:t> </w:t>
      </w:r>
      <w:r>
        <w:rPr>
          <w:color w:val="231F20"/>
        </w:rPr>
        <w:t>nerve</w:t>
      </w:r>
      <w:r>
        <w:rPr>
          <w:color w:val="231F20"/>
          <w:spacing w:val="-28"/>
        </w:rPr>
        <w:t> </w:t>
      </w:r>
      <w:r>
        <w:rPr>
          <w:color w:val="231F20"/>
        </w:rPr>
        <w:t>–</w:t>
      </w:r>
      <w:r>
        <w:rPr>
          <w:color w:val="231F20"/>
          <w:spacing w:val="-29"/>
        </w:rPr>
        <w:t> </w:t>
      </w:r>
      <w:r>
        <w:rPr>
          <w:color w:val="231F20"/>
        </w:rPr>
        <w:t>a</w:t>
      </w:r>
      <w:r>
        <w:rPr>
          <w:color w:val="231F20"/>
          <w:spacing w:val="-29"/>
        </w:rPr>
        <w:t> </w:t>
      </w:r>
      <w:r>
        <w:rPr>
          <w:color w:val="231F20"/>
        </w:rPr>
        <w:t>powerful</w:t>
      </w:r>
      <w:r>
        <w:rPr>
          <w:color w:val="231F20"/>
          <w:spacing w:val="-29"/>
        </w:rPr>
        <w:t> </w:t>
      </w:r>
      <w:r>
        <w:rPr>
          <w:color w:val="231F20"/>
        </w:rPr>
        <w:t>entrance</w:t>
      </w:r>
      <w:r>
        <w:rPr>
          <w:color w:val="231F20"/>
          <w:spacing w:val="-29"/>
        </w:rPr>
        <w:t> </w:t>
      </w:r>
      <w:r>
        <w:rPr>
          <w:color w:val="231F20"/>
        </w:rPr>
        <w:t>to</w:t>
      </w:r>
      <w:r>
        <w:rPr>
          <w:color w:val="231F20"/>
          <w:spacing w:val="-28"/>
        </w:rPr>
        <w:t> </w:t>
      </w:r>
      <w:r>
        <w:rPr>
          <w:color w:val="231F20"/>
        </w:rPr>
        <w:t>the</w:t>
      </w:r>
      <w:r>
        <w:rPr>
          <w:color w:val="231F20"/>
          <w:spacing w:val="-29"/>
        </w:rPr>
        <w:t> </w:t>
      </w:r>
      <w:r>
        <w:rPr>
          <w:color w:val="231F20"/>
        </w:rPr>
        <w:t>brain</w:t>
      </w:r>
      <w:r>
        <w:rPr>
          <w:color w:val="231F20"/>
          <w:spacing w:val="-29"/>
        </w:rPr>
        <w:t> </w:t>
      </w:r>
      <w:r>
        <w:rPr>
          <w:color w:val="231F20"/>
        </w:rPr>
        <w:t>–</w:t>
      </w:r>
      <w:r>
        <w:rPr>
          <w:color w:val="231F20"/>
          <w:spacing w:val="-29"/>
        </w:rPr>
        <w:t> </w:t>
      </w:r>
      <w:r>
        <w:rPr>
          <w:color w:val="231F20"/>
        </w:rPr>
        <w:t>affects</w:t>
      </w:r>
      <w:r>
        <w:rPr>
          <w:color w:val="231F20"/>
          <w:spacing w:val="-29"/>
        </w:rPr>
        <w:t> </w:t>
      </w:r>
      <w:r>
        <w:rPr>
          <w:color w:val="231F20"/>
        </w:rPr>
        <w:t>a</w:t>
      </w:r>
      <w:r>
        <w:rPr>
          <w:color w:val="231F20"/>
          <w:spacing w:val="-29"/>
        </w:rPr>
        <w:t> </w:t>
      </w:r>
      <w:r>
        <w:rPr>
          <w:color w:val="231F20"/>
          <w:spacing w:val="-3"/>
        </w:rPr>
        <w:t>large </w:t>
      </w:r>
      <w:r>
        <w:rPr>
          <w:color w:val="231F20"/>
        </w:rPr>
        <w:t>number</w:t>
      </w:r>
      <w:r>
        <w:rPr>
          <w:color w:val="231F20"/>
          <w:spacing w:val="-24"/>
        </w:rPr>
        <w:t> </w:t>
      </w:r>
      <w:r>
        <w:rPr>
          <w:color w:val="231F20"/>
        </w:rPr>
        <w:t>of</w:t>
      </w:r>
      <w:r>
        <w:rPr>
          <w:color w:val="231F20"/>
          <w:spacing w:val="-24"/>
        </w:rPr>
        <w:t> </w:t>
      </w:r>
      <w:r>
        <w:rPr>
          <w:color w:val="231F20"/>
        </w:rPr>
        <w:t>physiological</w:t>
      </w:r>
      <w:r>
        <w:rPr>
          <w:color w:val="231F20"/>
          <w:spacing w:val="-24"/>
        </w:rPr>
        <w:t> </w:t>
      </w:r>
      <w:r>
        <w:rPr>
          <w:color w:val="231F20"/>
        </w:rPr>
        <w:t>processes</w:t>
      </w:r>
      <w:r>
        <w:rPr>
          <w:color w:val="231F20"/>
          <w:spacing w:val="-24"/>
        </w:rPr>
        <w:t> </w:t>
      </w:r>
      <w:r>
        <w:rPr>
          <w:color w:val="231F20"/>
        </w:rPr>
        <w:t>implicating</w:t>
      </w:r>
      <w:r>
        <w:rPr>
          <w:color w:val="231F20"/>
          <w:spacing w:val="-23"/>
        </w:rPr>
        <w:t> </w:t>
      </w:r>
      <w:r>
        <w:rPr>
          <w:color w:val="231F20"/>
        </w:rPr>
        <w:t>interactions</w:t>
      </w:r>
      <w:r>
        <w:rPr>
          <w:color w:val="231F20"/>
          <w:spacing w:val="-24"/>
        </w:rPr>
        <w:t> </w:t>
      </w:r>
      <w:r>
        <w:rPr>
          <w:color w:val="231F20"/>
        </w:rPr>
        <w:t>between</w:t>
      </w:r>
      <w:r>
        <w:rPr>
          <w:color w:val="231F20"/>
          <w:spacing w:val="-24"/>
        </w:rPr>
        <w:t> </w:t>
      </w:r>
      <w:r>
        <w:rPr>
          <w:color w:val="231F20"/>
        </w:rPr>
        <w:t>the</w:t>
      </w:r>
      <w:r>
        <w:rPr>
          <w:color w:val="231F20"/>
          <w:spacing w:val="-24"/>
        </w:rPr>
        <w:t> </w:t>
      </w:r>
      <w:r>
        <w:rPr>
          <w:color w:val="231F20"/>
        </w:rPr>
        <w:t>brain</w:t>
      </w:r>
      <w:r>
        <w:rPr>
          <w:color w:val="231F20"/>
          <w:spacing w:val="-23"/>
        </w:rPr>
        <w:t> </w:t>
      </w:r>
      <w:r>
        <w:rPr>
          <w:color w:val="231F20"/>
        </w:rPr>
        <w:t>and</w:t>
      </w:r>
      <w:r>
        <w:rPr>
          <w:color w:val="231F20"/>
          <w:spacing w:val="-24"/>
        </w:rPr>
        <w:t> </w:t>
      </w:r>
      <w:r>
        <w:rPr>
          <w:color w:val="231F20"/>
          <w:spacing w:val="-8"/>
        </w:rPr>
        <w:t>body. </w:t>
      </w:r>
      <w:r>
        <w:rPr>
          <w:color w:val="231F20"/>
        </w:rPr>
        <w:t>Engineering</w:t>
      </w:r>
      <w:r>
        <w:rPr>
          <w:color w:val="231F20"/>
          <w:spacing w:val="-26"/>
        </w:rPr>
        <w:t> </w:t>
      </w:r>
      <w:r>
        <w:rPr>
          <w:color w:val="231F20"/>
        </w:rPr>
        <w:t>aspects</w:t>
      </w:r>
      <w:r>
        <w:rPr>
          <w:color w:val="231F20"/>
          <w:spacing w:val="-25"/>
        </w:rPr>
        <w:t> </w:t>
      </w:r>
      <w:r>
        <w:rPr>
          <w:color w:val="231F20"/>
        </w:rPr>
        <w:t>of</w:t>
      </w:r>
      <w:r>
        <w:rPr>
          <w:color w:val="231F20"/>
          <w:spacing w:val="-26"/>
        </w:rPr>
        <w:t> </w:t>
      </w:r>
      <w:r>
        <w:rPr>
          <w:color w:val="231F20"/>
        </w:rPr>
        <w:t>aVNS</w:t>
      </w:r>
      <w:r>
        <w:rPr>
          <w:color w:val="231F20"/>
          <w:spacing w:val="-25"/>
        </w:rPr>
        <w:t> </w:t>
      </w:r>
      <w:r>
        <w:rPr>
          <w:color w:val="231F20"/>
        </w:rPr>
        <w:t>determine</w:t>
      </w:r>
      <w:r>
        <w:rPr>
          <w:color w:val="231F20"/>
          <w:spacing w:val="-26"/>
        </w:rPr>
        <w:t> </w:t>
      </w:r>
      <w:r>
        <w:rPr>
          <w:color w:val="231F20"/>
        </w:rPr>
        <w:t>its</w:t>
      </w:r>
      <w:r>
        <w:rPr>
          <w:color w:val="231F20"/>
          <w:spacing w:val="-25"/>
        </w:rPr>
        <w:t> </w:t>
      </w:r>
      <w:r>
        <w:rPr>
          <w:color w:val="231F20"/>
        </w:rPr>
        <w:t>efficiency</w:t>
      </w:r>
      <w:r>
        <w:rPr>
          <w:color w:val="231F20"/>
          <w:spacing w:val="-26"/>
        </w:rPr>
        <w:t> </w:t>
      </w:r>
      <w:r>
        <w:rPr>
          <w:color w:val="231F20"/>
        </w:rPr>
        <w:t>in</w:t>
      </w:r>
      <w:r>
        <w:rPr>
          <w:color w:val="231F20"/>
          <w:spacing w:val="-25"/>
        </w:rPr>
        <w:t> </w:t>
      </w:r>
      <w:r>
        <w:rPr>
          <w:color w:val="231F20"/>
        </w:rPr>
        <w:t>application.</w:t>
      </w:r>
      <w:r>
        <w:rPr>
          <w:color w:val="231F20"/>
          <w:spacing w:val="-26"/>
        </w:rPr>
        <w:t> </w:t>
      </w:r>
      <w:r>
        <w:rPr>
          <w:color w:val="231F20"/>
        </w:rPr>
        <w:t>The</w:t>
      </w:r>
      <w:r>
        <w:rPr>
          <w:color w:val="231F20"/>
          <w:spacing w:val="-25"/>
        </w:rPr>
        <w:t> </w:t>
      </w:r>
      <w:r>
        <w:rPr>
          <w:color w:val="231F20"/>
        </w:rPr>
        <w:t>relevant</w:t>
      </w:r>
      <w:r>
        <w:rPr>
          <w:color w:val="231F20"/>
          <w:spacing w:val="-26"/>
        </w:rPr>
        <w:t> </w:t>
      </w:r>
      <w:r>
        <w:rPr>
          <w:color w:val="231F20"/>
        </w:rPr>
        <w:t>safety and</w:t>
      </w:r>
      <w:r>
        <w:rPr>
          <w:color w:val="231F20"/>
          <w:spacing w:val="-37"/>
        </w:rPr>
        <w:t> </w:t>
      </w:r>
      <w:r>
        <w:rPr>
          <w:color w:val="231F20"/>
        </w:rPr>
        <w:t>regulatory</w:t>
      </w:r>
      <w:r>
        <w:rPr>
          <w:color w:val="231F20"/>
          <w:spacing w:val="-37"/>
        </w:rPr>
        <w:t> </w:t>
      </w:r>
      <w:r>
        <w:rPr>
          <w:color w:val="231F20"/>
        </w:rPr>
        <w:t>issues</w:t>
      </w:r>
      <w:r>
        <w:rPr>
          <w:color w:val="231F20"/>
          <w:spacing w:val="-36"/>
        </w:rPr>
        <w:t> </w:t>
      </w:r>
      <w:r>
        <w:rPr>
          <w:color w:val="231F20"/>
        </w:rPr>
        <w:t>need</w:t>
      </w:r>
      <w:r>
        <w:rPr>
          <w:color w:val="231F20"/>
          <w:spacing w:val="-37"/>
        </w:rPr>
        <w:t> </w:t>
      </w:r>
      <w:r>
        <w:rPr>
          <w:color w:val="231F20"/>
        </w:rPr>
        <w:t>to</w:t>
      </w:r>
      <w:r>
        <w:rPr>
          <w:color w:val="231F20"/>
          <w:spacing w:val="-36"/>
        </w:rPr>
        <w:t> </w:t>
      </w:r>
      <w:r>
        <w:rPr>
          <w:color w:val="231F20"/>
        </w:rPr>
        <w:t>be</w:t>
      </w:r>
      <w:r>
        <w:rPr>
          <w:color w:val="231F20"/>
          <w:spacing w:val="-37"/>
        </w:rPr>
        <w:t> </w:t>
      </w:r>
      <w:r>
        <w:rPr>
          <w:color w:val="231F20"/>
        </w:rPr>
        <w:t>appropriately</w:t>
      </w:r>
      <w:r>
        <w:rPr>
          <w:color w:val="231F20"/>
          <w:spacing w:val="-36"/>
        </w:rPr>
        <w:t> </w:t>
      </w:r>
      <w:r>
        <w:rPr>
          <w:color w:val="231F20"/>
        </w:rPr>
        <w:t>addressed.</w:t>
      </w:r>
      <w:r>
        <w:rPr>
          <w:color w:val="231F20"/>
          <w:spacing w:val="-37"/>
        </w:rPr>
        <w:t> </w:t>
      </w:r>
      <w:r>
        <w:rPr>
          <w:color w:val="231F20"/>
        </w:rPr>
        <w:t>In</w:t>
      </w:r>
      <w:r>
        <w:rPr>
          <w:color w:val="231F20"/>
          <w:spacing w:val="-36"/>
        </w:rPr>
        <w:t> </w:t>
      </w:r>
      <w:r>
        <w:rPr>
          <w:color w:val="231F20"/>
        </w:rPr>
        <w:t>particular,</w:t>
      </w:r>
      <w:r>
        <w:rPr>
          <w:color w:val="231F20"/>
          <w:spacing w:val="-37"/>
        </w:rPr>
        <w:t> </w:t>
      </w:r>
      <w:r>
        <w:rPr>
          <w:i/>
          <w:color w:val="231F20"/>
        </w:rPr>
        <w:t>in</w:t>
      </w:r>
      <w:r>
        <w:rPr>
          <w:i/>
          <w:color w:val="231F20"/>
          <w:spacing w:val="-36"/>
        </w:rPr>
        <w:t> </w:t>
      </w:r>
      <w:r>
        <w:rPr>
          <w:i/>
          <w:color w:val="231F20"/>
        </w:rPr>
        <w:t>silico</w:t>
      </w:r>
      <w:r>
        <w:rPr>
          <w:i/>
          <w:color w:val="231F20"/>
          <w:spacing w:val="-37"/>
        </w:rPr>
        <w:t> </w:t>
      </w:r>
      <w:r>
        <w:rPr>
          <w:color w:val="231F20"/>
        </w:rPr>
        <w:t>modeling acts as a tool for aVNS optimization. The evolution of personalized electroceuticals using novel architectures of the closed-loop aVNS paradigms with biofeedback can be expected to optimally meet therapy needs. For the first time, two international workshops on aVNS have been held in Warsaw and Vienna in 2017 within the</w:t>
      </w:r>
      <w:r>
        <w:rPr>
          <w:color w:val="231F20"/>
          <w:spacing w:val="-32"/>
        </w:rPr>
        <w:t> </w:t>
      </w:r>
      <w:r>
        <w:rPr>
          <w:color w:val="231F20"/>
          <w:spacing w:val="-3"/>
        </w:rPr>
        <w:t>scope </w:t>
      </w:r>
      <w:r>
        <w:rPr>
          <w:color w:val="231F20"/>
        </w:rPr>
        <w:t>of EU COST Action “European network for innovative uses of EMFs in biomedical applications</w:t>
      </w:r>
      <w:r>
        <w:rPr>
          <w:color w:val="231F20"/>
          <w:spacing w:val="-14"/>
        </w:rPr>
        <w:t> </w:t>
      </w:r>
      <w:r>
        <w:rPr>
          <w:color w:val="231F20"/>
        </w:rPr>
        <w:t>(BM1309).”</w:t>
      </w:r>
      <w:r>
        <w:rPr>
          <w:color w:val="231F20"/>
          <w:spacing w:val="-13"/>
        </w:rPr>
        <w:t> </w:t>
      </w:r>
      <w:r>
        <w:rPr>
          <w:color w:val="231F20"/>
        </w:rPr>
        <w:t>Both</w:t>
      </w:r>
      <w:r>
        <w:rPr>
          <w:color w:val="231F20"/>
          <w:spacing w:val="-14"/>
        </w:rPr>
        <w:t> </w:t>
      </w:r>
      <w:r>
        <w:rPr>
          <w:color w:val="231F20"/>
        </w:rPr>
        <w:t>workshops</w:t>
      </w:r>
      <w:r>
        <w:rPr>
          <w:color w:val="231F20"/>
          <w:spacing w:val="-13"/>
        </w:rPr>
        <w:t> </w:t>
      </w:r>
      <w:r>
        <w:rPr>
          <w:color w:val="231F20"/>
        </w:rPr>
        <w:t>focused</w:t>
      </w:r>
      <w:r>
        <w:rPr>
          <w:color w:val="231F20"/>
          <w:spacing w:val="-13"/>
        </w:rPr>
        <w:t> </w:t>
      </w:r>
      <w:r>
        <w:rPr>
          <w:color w:val="231F20"/>
        </w:rPr>
        <w:t>critically</w:t>
      </w:r>
      <w:r>
        <w:rPr>
          <w:color w:val="231F20"/>
          <w:spacing w:val="-14"/>
        </w:rPr>
        <w:t> </w:t>
      </w:r>
      <w:r>
        <w:rPr>
          <w:color w:val="231F20"/>
        </w:rPr>
        <w:t>on</w:t>
      </w:r>
      <w:r>
        <w:rPr>
          <w:color w:val="231F20"/>
          <w:spacing w:val="-13"/>
        </w:rPr>
        <w:t> </w:t>
      </w:r>
      <w:r>
        <w:rPr>
          <w:color w:val="231F20"/>
        </w:rPr>
        <w:t>the</w:t>
      </w:r>
      <w:r>
        <w:rPr>
          <w:color w:val="231F20"/>
          <w:spacing w:val="-14"/>
        </w:rPr>
        <w:t> </w:t>
      </w:r>
      <w:r>
        <w:rPr>
          <w:color w:val="231F20"/>
        </w:rPr>
        <w:t>driving</w:t>
      </w:r>
      <w:r>
        <w:rPr>
          <w:color w:val="231F20"/>
          <w:spacing w:val="-13"/>
        </w:rPr>
        <w:t> </w:t>
      </w:r>
      <w:r>
        <w:rPr>
          <w:color w:val="231F20"/>
        </w:rPr>
        <w:t>physiological mechanisms of aVNS, its experimental and clinical studies in animals and humans, </w:t>
      </w:r>
      <w:r>
        <w:rPr>
          <w:i/>
          <w:color w:val="231F20"/>
        </w:rPr>
        <w:t>in</w:t>
      </w:r>
      <w:r>
        <w:rPr>
          <w:i/>
          <w:color w:val="231F20"/>
          <w:spacing w:val="-33"/>
        </w:rPr>
        <w:t> </w:t>
      </w:r>
      <w:r>
        <w:rPr>
          <w:i/>
          <w:color w:val="231F20"/>
        </w:rPr>
        <w:t>silico</w:t>
      </w:r>
      <w:r>
        <w:rPr>
          <w:i/>
          <w:color w:val="231F20"/>
          <w:spacing w:val="-32"/>
        </w:rPr>
        <w:t> </w:t>
      </w:r>
      <w:r>
        <w:rPr>
          <w:color w:val="231F20"/>
        </w:rPr>
        <w:t>aVNS</w:t>
      </w:r>
      <w:r>
        <w:rPr>
          <w:color w:val="231F20"/>
          <w:spacing w:val="-32"/>
        </w:rPr>
        <w:t> </w:t>
      </w:r>
      <w:r>
        <w:rPr>
          <w:color w:val="231F20"/>
        </w:rPr>
        <w:t>studies,</w:t>
      </w:r>
      <w:r>
        <w:rPr>
          <w:color w:val="231F20"/>
          <w:spacing w:val="-33"/>
        </w:rPr>
        <w:t> </w:t>
      </w:r>
      <w:r>
        <w:rPr>
          <w:color w:val="231F20"/>
        </w:rPr>
        <w:t>technological</w:t>
      </w:r>
      <w:r>
        <w:rPr>
          <w:color w:val="231F20"/>
          <w:spacing w:val="-32"/>
        </w:rPr>
        <w:t> </w:t>
      </w:r>
      <w:r>
        <w:rPr>
          <w:color w:val="231F20"/>
        </w:rPr>
        <w:t>advancements,</w:t>
      </w:r>
      <w:r>
        <w:rPr>
          <w:color w:val="231F20"/>
          <w:spacing w:val="-32"/>
        </w:rPr>
        <w:t> </w:t>
      </w:r>
      <w:r>
        <w:rPr>
          <w:color w:val="231F20"/>
        </w:rPr>
        <w:t>and</w:t>
      </w:r>
      <w:r>
        <w:rPr>
          <w:color w:val="231F20"/>
          <w:spacing w:val="-33"/>
        </w:rPr>
        <w:t> </w:t>
      </w:r>
      <w:r>
        <w:rPr>
          <w:color w:val="231F20"/>
        </w:rPr>
        <w:t>regulatory</w:t>
      </w:r>
      <w:r>
        <w:rPr>
          <w:color w:val="231F20"/>
          <w:spacing w:val="-32"/>
        </w:rPr>
        <w:t> </w:t>
      </w:r>
      <w:r>
        <w:rPr>
          <w:color w:val="231F20"/>
        </w:rPr>
        <w:t>barriers.</w:t>
      </w:r>
      <w:r>
        <w:rPr>
          <w:color w:val="231F20"/>
          <w:spacing w:val="-32"/>
        </w:rPr>
        <w:t> </w:t>
      </w:r>
      <w:r>
        <w:rPr>
          <w:color w:val="231F20"/>
        </w:rPr>
        <w:t>The</w:t>
      </w:r>
      <w:r>
        <w:rPr>
          <w:color w:val="231F20"/>
          <w:spacing w:val="-32"/>
        </w:rPr>
        <w:t> </w:t>
      </w:r>
      <w:r>
        <w:rPr>
          <w:color w:val="231F20"/>
        </w:rPr>
        <w:t>results of</w:t>
      </w:r>
      <w:r>
        <w:rPr>
          <w:color w:val="231F20"/>
          <w:spacing w:val="-5"/>
        </w:rPr>
        <w:t> </w:t>
      </w:r>
      <w:r>
        <w:rPr>
          <w:color w:val="231F20"/>
        </w:rPr>
        <w:t>the</w:t>
      </w:r>
      <w:r>
        <w:rPr>
          <w:color w:val="231F20"/>
          <w:spacing w:val="-4"/>
        </w:rPr>
        <w:t> </w:t>
      </w:r>
      <w:r>
        <w:rPr>
          <w:color w:val="231F20"/>
        </w:rPr>
        <w:t>workshops</w:t>
      </w:r>
      <w:r>
        <w:rPr>
          <w:color w:val="231F20"/>
          <w:spacing w:val="-4"/>
        </w:rPr>
        <w:t> </w:t>
      </w:r>
      <w:r>
        <w:rPr>
          <w:color w:val="231F20"/>
        </w:rPr>
        <w:t>are</w:t>
      </w:r>
      <w:r>
        <w:rPr>
          <w:color w:val="231F20"/>
          <w:spacing w:val="-4"/>
        </w:rPr>
        <w:t> </w:t>
      </w:r>
      <w:r>
        <w:rPr>
          <w:color w:val="231F20"/>
        </w:rPr>
        <w:t>covered</w:t>
      </w:r>
      <w:r>
        <w:rPr>
          <w:color w:val="231F20"/>
          <w:spacing w:val="-4"/>
        </w:rPr>
        <w:t> </w:t>
      </w:r>
      <w:r>
        <w:rPr>
          <w:color w:val="231F20"/>
        </w:rPr>
        <w:t>in</w:t>
      </w:r>
      <w:r>
        <w:rPr>
          <w:color w:val="231F20"/>
          <w:spacing w:val="-4"/>
        </w:rPr>
        <w:t> </w:t>
      </w:r>
      <w:r>
        <w:rPr>
          <w:color w:val="231F20"/>
        </w:rPr>
        <w:t>two</w:t>
      </w:r>
      <w:r>
        <w:rPr>
          <w:color w:val="231F20"/>
          <w:spacing w:val="-4"/>
        </w:rPr>
        <w:t> </w:t>
      </w:r>
      <w:r>
        <w:rPr>
          <w:color w:val="231F20"/>
        </w:rPr>
        <w:t>reviews,</w:t>
      </w:r>
      <w:r>
        <w:rPr>
          <w:color w:val="231F20"/>
          <w:spacing w:val="-4"/>
        </w:rPr>
        <w:t> </w:t>
      </w:r>
      <w:r>
        <w:rPr>
          <w:color w:val="231F20"/>
        </w:rPr>
        <w:t>covering</w:t>
      </w:r>
      <w:r>
        <w:rPr>
          <w:color w:val="231F20"/>
          <w:spacing w:val="-4"/>
        </w:rPr>
        <w:t> </w:t>
      </w:r>
      <w:r>
        <w:rPr>
          <w:color w:val="231F20"/>
        </w:rPr>
        <w:t>physiological</w:t>
      </w:r>
      <w:r>
        <w:rPr>
          <w:color w:val="231F20"/>
          <w:spacing w:val="-4"/>
        </w:rPr>
        <w:t> </w:t>
      </w:r>
      <w:r>
        <w:rPr>
          <w:color w:val="231F20"/>
        </w:rPr>
        <w:t>and</w:t>
      </w:r>
      <w:r>
        <w:rPr>
          <w:color w:val="231F20"/>
          <w:spacing w:val="-4"/>
        </w:rPr>
        <w:t> </w:t>
      </w:r>
      <w:r>
        <w:rPr>
          <w:color w:val="231F20"/>
        </w:rPr>
        <w:t>engineering aspects. The present review summarizes on engineering aspects – a discussion </w:t>
      </w:r>
      <w:r>
        <w:rPr>
          <w:color w:val="231F20"/>
          <w:spacing w:val="-7"/>
        </w:rPr>
        <w:t>of </w:t>
      </w:r>
      <w:r>
        <w:rPr>
          <w:color w:val="231F20"/>
        </w:rPr>
        <w:t>physiological</w:t>
      </w:r>
      <w:r>
        <w:rPr>
          <w:color w:val="231F20"/>
          <w:spacing w:val="-9"/>
        </w:rPr>
        <w:t> </w:t>
      </w:r>
      <w:r>
        <w:rPr>
          <w:color w:val="231F20"/>
        </w:rPr>
        <w:t>aspects</w:t>
      </w:r>
      <w:r>
        <w:rPr>
          <w:color w:val="231F20"/>
          <w:spacing w:val="-8"/>
        </w:rPr>
        <w:t> </w:t>
      </w:r>
      <w:r>
        <w:rPr>
          <w:color w:val="231F20"/>
        </w:rPr>
        <w:t>is</w:t>
      </w:r>
      <w:r>
        <w:rPr>
          <w:color w:val="231F20"/>
          <w:spacing w:val="-8"/>
        </w:rPr>
        <w:t> </w:t>
      </w:r>
      <w:r>
        <w:rPr>
          <w:color w:val="231F20"/>
        </w:rPr>
        <w:t>provided</w:t>
      </w:r>
      <w:r>
        <w:rPr>
          <w:color w:val="231F20"/>
          <w:spacing w:val="-8"/>
        </w:rPr>
        <w:t> </w:t>
      </w:r>
      <w:r>
        <w:rPr>
          <w:color w:val="231F20"/>
        </w:rPr>
        <w:t>by</w:t>
      </w:r>
      <w:r>
        <w:rPr>
          <w:color w:val="231F20"/>
          <w:spacing w:val="-8"/>
        </w:rPr>
        <w:t> </w:t>
      </w:r>
      <w:r>
        <w:rPr>
          <w:color w:val="231F20"/>
        </w:rPr>
        <w:t>our</w:t>
      </w:r>
      <w:r>
        <w:rPr>
          <w:color w:val="231F20"/>
          <w:spacing w:val="-8"/>
        </w:rPr>
        <w:t> </w:t>
      </w:r>
      <w:r>
        <w:rPr>
          <w:color w:val="231F20"/>
        </w:rPr>
        <w:t>accompanying</w:t>
      </w:r>
      <w:r>
        <w:rPr>
          <w:color w:val="231F20"/>
          <w:spacing w:val="-8"/>
        </w:rPr>
        <w:t> </w:t>
      </w:r>
      <w:r>
        <w:rPr>
          <w:color w:val="231F20"/>
        </w:rPr>
        <w:t>article</w:t>
      </w:r>
      <w:r>
        <w:rPr>
          <w:color w:val="231F20"/>
          <w:spacing w:val="-8"/>
        </w:rPr>
        <w:t> </w:t>
      </w:r>
      <w:r>
        <w:rPr>
          <w:color w:val="231F20"/>
        </w:rPr>
        <w:t>(</w:t>
      </w:r>
      <w:hyperlink w:history="true" w:anchor="_bookmark49">
        <w:r>
          <w:rPr>
            <w:color w:val="6D6E71"/>
          </w:rPr>
          <w:t>Kaniusas</w:t>
        </w:r>
        <w:r>
          <w:rPr>
            <w:color w:val="6D6E71"/>
            <w:spacing w:val="-19"/>
          </w:rPr>
          <w:t> </w:t>
        </w:r>
        <w:r>
          <w:rPr>
            <w:color w:val="6D6E71"/>
          </w:rPr>
          <w:t>et</w:t>
        </w:r>
        <w:r>
          <w:rPr>
            <w:color w:val="6D6E71"/>
            <w:spacing w:val="-19"/>
          </w:rPr>
          <w:t> </w:t>
        </w:r>
        <w:r>
          <w:rPr>
            <w:color w:val="6D6E71"/>
          </w:rPr>
          <w:t>al.</w:t>
        </w:r>
      </w:hyperlink>
      <w:r>
        <w:rPr>
          <w:color w:val="6D6E71"/>
        </w:rPr>
        <w:t>,</w:t>
      </w:r>
      <w:r>
        <w:rPr>
          <w:color w:val="6D6E71"/>
          <w:spacing w:val="-18"/>
        </w:rPr>
        <w:t> </w:t>
      </w:r>
      <w:hyperlink w:history="true" w:anchor="_bookmark49">
        <w:r>
          <w:rPr>
            <w:color w:val="6D6E71"/>
          </w:rPr>
          <w:t>2019</w:t>
        </w:r>
      </w:hyperlink>
      <w:r>
        <w:rPr>
          <w:color w:val="231F20"/>
        </w:rPr>
        <w:t>). Both reviews build a reasonable bridge from the rationale of aVNS as a therapeutic tool</w:t>
      </w:r>
      <w:r>
        <w:rPr>
          <w:color w:val="231F20"/>
          <w:spacing w:val="-9"/>
        </w:rPr>
        <w:t> </w:t>
      </w:r>
      <w:r>
        <w:rPr>
          <w:color w:val="231F20"/>
        </w:rPr>
        <w:t>to</w:t>
      </w:r>
      <w:r>
        <w:rPr>
          <w:color w:val="231F20"/>
          <w:spacing w:val="-8"/>
        </w:rPr>
        <w:t> </w:t>
      </w:r>
      <w:r>
        <w:rPr>
          <w:color w:val="231F20"/>
        </w:rPr>
        <w:t>current</w:t>
      </w:r>
      <w:r>
        <w:rPr>
          <w:color w:val="231F20"/>
          <w:spacing w:val="-8"/>
        </w:rPr>
        <w:t> </w:t>
      </w:r>
      <w:r>
        <w:rPr>
          <w:color w:val="231F20"/>
        </w:rPr>
        <w:t>research</w:t>
      </w:r>
      <w:r>
        <w:rPr>
          <w:color w:val="231F20"/>
          <w:spacing w:val="-9"/>
        </w:rPr>
        <w:t> </w:t>
      </w:r>
      <w:r>
        <w:rPr>
          <w:color w:val="231F20"/>
        </w:rPr>
        <w:t>lines,</w:t>
      </w:r>
      <w:r>
        <w:rPr>
          <w:color w:val="231F20"/>
          <w:spacing w:val="-8"/>
        </w:rPr>
        <w:t> </w:t>
      </w:r>
      <w:r>
        <w:rPr>
          <w:color w:val="231F20"/>
        </w:rPr>
        <w:t>all</w:t>
      </w:r>
      <w:r>
        <w:rPr>
          <w:color w:val="231F20"/>
          <w:spacing w:val="-8"/>
        </w:rPr>
        <w:t> </w:t>
      </w:r>
      <w:r>
        <w:rPr>
          <w:color w:val="231F20"/>
        </w:rPr>
        <w:t>of</w:t>
      </w:r>
      <w:r>
        <w:rPr>
          <w:color w:val="231F20"/>
          <w:spacing w:val="-9"/>
        </w:rPr>
        <w:t> </w:t>
      </w:r>
      <w:r>
        <w:rPr>
          <w:color w:val="231F20"/>
        </w:rPr>
        <w:t>them</w:t>
      </w:r>
      <w:r>
        <w:rPr>
          <w:color w:val="231F20"/>
          <w:spacing w:val="-8"/>
        </w:rPr>
        <w:t> </w:t>
      </w:r>
      <w:r>
        <w:rPr>
          <w:color w:val="231F20"/>
        </w:rPr>
        <w:t>being</w:t>
      </w:r>
      <w:r>
        <w:rPr>
          <w:color w:val="231F20"/>
          <w:spacing w:val="-8"/>
        </w:rPr>
        <w:t> </w:t>
      </w:r>
      <w:r>
        <w:rPr>
          <w:color w:val="231F20"/>
        </w:rPr>
        <w:t>highly</w:t>
      </w:r>
      <w:r>
        <w:rPr>
          <w:color w:val="231F20"/>
          <w:spacing w:val="-8"/>
        </w:rPr>
        <w:t> </w:t>
      </w:r>
      <w:r>
        <w:rPr>
          <w:color w:val="231F20"/>
        </w:rPr>
        <w:t>relevant</w:t>
      </w:r>
      <w:r>
        <w:rPr>
          <w:color w:val="231F20"/>
          <w:spacing w:val="-9"/>
        </w:rPr>
        <w:t> </w:t>
      </w:r>
      <w:r>
        <w:rPr>
          <w:color w:val="231F20"/>
        </w:rPr>
        <w:t>for</w:t>
      </w:r>
      <w:r>
        <w:rPr>
          <w:color w:val="231F20"/>
          <w:spacing w:val="-8"/>
        </w:rPr>
        <w:t> </w:t>
      </w:r>
      <w:r>
        <w:rPr>
          <w:color w:val="231F20"/>
        </w:rPr>
        <w:t>the</w:t>
      </w:r>
      <w:r>
        <w:rPr>
          <w:color w:val="231F20"/>
          <w:spacing w:val="-8"/>
        </w:rPr>
        <w:t> </w:t>
      </w:r>
      <w:r>
        <w:rPr>
          <w:color w:val="231F20"/>
        </w:rPr>
        <w:t>promising</w:t>
      </w:r>
      <w:r>
        <w:rPr>
          <w:color w:val="231F20"/>
          <w:spacing w:val="-9"/>
        </w:rPr>
        <w:t> </w:t>
      </w:r>
      <w:r>
        <w:rPr>
          <w:color w:val="231F20"/>
        </w:rPr>
        <w:t>aVNS technology to reach the</w:t>
      </w:r>
      <w:r>
        <w:rPr>
          <w:color w:val="231F20"/>
          <w:spacing w:val="-3"/>
        </w:rPr>
        <w:t> </w:t>
      </w:r>
      <w:r>
        <w:rPr>
          <w:color w:val="231F20"/>
        </w:rPr>
        <w:t>patient.</w:t>
      </w:r>
    </w:p>
    <w:p>
      <w:pPr>
        <w:spacing w:line="266" w:lineRule="auto" w:before="160"/>
        <w:ind w:left="173" w:right="154" w:firstLine="0"/>
        <w:jc w:val="left"/>
        <w:rPr>
          <w:rFonts w:ascii="Arial"/>
          <w:sz w:val="14"/>
        </w:rPr>
      </w:pPr>
      <w:r>
        <w:rPr>
          <w:rFonts w:ascii="Arial"/>
          <w:color w:val="231F20"/>
          <w:w w:val="110"/>
          <w:sz w:val="14"/>
        </w:rPr>
        <w:t>Keywords:</w:t>
      </w:r>
      <w:r>
        <w:rPr>
          <w:rFonts w:ascii="Arial"/>
          <w:color w:val="231F20"/>
          <w:spacing w:val="-19"/>
          <w:w w:val="110"/>
          <w:sz w:val="14"/>
        </w:rPr>
        <w:t> </w:t>
      </w:r>
      <w:r>
        <w:rPr>
          <w:rFonts w:ascii="Arial"/>
          <w:color w:val="231F20"/>
          <w:w w:val="110"/>
          <w:sz w:val="14"/>
        </w:rPr>
        <w:t>vagus</w:t>
      </w:r>
      <w:r>
        <w:rPr>
          <w:rFonts w:ascii="Arial"/>
          <w:color w:val="231F20"/>
          <w:spacing w:val="-19"/>
          <w:w w:val="110"/>
          <w:sz w:val="14"/>
        </w:rPr>
        <w:t> </w:t>
      </w:r>
      <w:r>
        <w:rPr>
          <w:rFonts w:ascii="Arial"/>
          <w:color w:val="231F20"/>
          <w:w w:val="110"/>
          <w:sz w:val="14"/>
        </w:rPr>
        <w:t>nerve</w:t>
      </w:r>
      <w:r>
        <w:rPr>
          <w:rFonts w:ascii="Arial"/>
          <w:color w:val="231F20"/>
          <w:spacing w:val="-19"/>
          <w:w w:val="110"/>
          <w:sz w:val="14"/>
        </w:rPr>
        <w:t> </w:t>
      </w:r>
      <w:r>
        <w:rPr>
          <w:rFonts w:ascii="Arial"/>
          <w:color w:val="231F20"/>
          <w:w w:val="110"/>
          <w:sz w:val="14"/>
        </w:rPr>
        <w:t>stimulation,</w:t>
      </w:r>
      <w:r>
        <w:rPr>
          <w:rFonts w:ascii="Arial"/>
          <w:color w:val="231F20"/>
          <w:spacing w:val="-19"/>
          <w:w w:val="110"/>
          <w:sz w:val="14"/>
        </w:rPr>
        <w:t> </w:t>
      </w:r>
      <w:r>
        <w:rPr>
          <w:rFonts w:ascii="Arial"/>
          <w:color w:val="231F20"/>
          <w:w w:val="110"/>
          <w:sz w:val="14"/>
        </w:rPr>
        <w:t>auricular</w:t>
      </w:r>
      <w:r>
        <w:rPr>
          <w:rFonts w:ascii="Arial"/>
          <w:color w:val="231F20"/>
          <w:spacing w:val="-18"/>
          <w:w w:val="110"/>
          <w:sz w:val="14"/>
        </w:rPr>
        <w:t> </w:t>
      </w:r>
      <w:r>
        <w:rPr>
          <w:rFonts w:ascii="Arial"/>
          <w:color w:val="231F20"/>
          <w:w w:val="110"/>
          <w:sz w:val="14"/>
        </w:rPr>
        <w:t>nerves,</w:t>
      </w:r>
      <w:r>
        <w:rPr>
          <w:rFonts w:ascii="Arial"/>
          <w:color w:val="231F20"/>
          <w:spacing w:val="-19"/>
          <w:w w:val="110"/>
          <w:sz w:val="14"/>
        </w:rPr>
        <w:t> </w:t>
      </w:r>
      <w:r>
        <w:rPr>
          <w:rFonts w:ascii="Arial"/>
          <w:color w:val="231F20"/>
          <w:w w:val="110"/>
          <w:sz w:val="14"/>
        </w:rPr>
        <w:t>auricular</w:t>
      </w:r>
      <w:r>
        <w:rPr>
          <w:rFonts w:ascii="Arial"/>
          <w:color w:val="231F20"/>
          <w:spacing w:val="-19"/>
          <w:w w:val="110"/>
          <w:sz w:val="14"/>
        </w:rPr>
        <w:t> </w:t>
      </w:r>
      <w:r>
        <w:rPr>
          <w:rFonts w:ascii="Arial"/>
          <w:color w:val="231F20"/>
          <w:w w:val="110"/>
          <w:sz w:val="14"/>
        </w:rPr>
        <w:t>transillumination,</w:t>
      </w:r>
      <w:r>
        <w:rPr>
          <w:rFonts w:ascii="Arial"/>
          <w:color w:val="231F20"/>
          <w:spacing w:val="-19"/>
          <w:w w:val="110"/>
          <w:sz w:val="14"/>
        </w:rPr>
        <w:t> </w:t>
      </w:r>
      <w:r>
        <w:rPr>
          <w:rFonts w:ascii="Arial"/>
          <w:color w:val="231F20"/>
          <w:w w:val="110"/>
          <w:sz w:val="14"/>
        </w:rPr>
        <w:t>stimulation</w:t>
      </w:r>
      <w:r>
        <w:rPr>
          <w:rFonts w:ascii="Arial"/>
          <w:color w:val="231F20"/>
          <w:spacing w:val="-19"/>
          <w:w w:val="110"/>
          <w:sz w:val="14"/>
        </w:rPr>
        <w:t> </w:t>
      </w:r>
      <w:r>
        <w:rPr>
          <w:rFonts w:ascii="Arial"/>
          <w:color w:val="231F20"/>
          <w:w w:val="110"/>
          <w:sz w:val="14"/>
        </w:rPr>
        <w:t>patterns,</w:t>
      </w:r>
      <w:r>
        <w:rPr>
          <w:rFonts w:ascii="Arial"/>
          <w:color w:val="231F20"/>
          <w:spacing w:val="-18"/>
          <w:w w:val="110"/>
          <w:sz w:val="14"/>
        </w:rPr>
        <w:t> </w:t>
      </w:r>
      <w:r>
        <w:rPr>
          <w:rFonts w:ascii="Arial"/>
          <w:color w:val="231F20"/>
          <w:w w:val="110"/>
          <w:sz w:val="14"/>
        </w:rPr>
        <w:t>stimulation optimization, </w:t>
      </w:r>
      <w:r>
        <w:rPr>
          <w:rFonts w:ascii="Arial"/>
          <w:i/>
          <w:color w:val="231F20"/>
          <w:w w:val="110"/>
          <w:sz w:val="14"/>
        </w:rPr>
        <w:t>in silico </w:t>
      </w:r>
      <w:r>
        <w:rPr>
          <w:rFonts w:ascii="Arial"/>
          <w:color w:val="231F20"/>
          <w:w w:val="110"/>
          <w:sz w:val="14"/>
        </w:rPr>
        <w:t>modeling, personalized</w:t>
      </w:r>
      <w:r>
        <w:rPr>
          <w:rFonts w:ascii="Arial"/>
          <w:color w:val="231F20"/>
          <w:spacing w:val="-21"/>
          <w:w w:val="110"/>
          <w:sz w:val="14"/>
        </w:rPr>
        <w:t> </w:t>
      </w:r>
      <w:r>
        <w:rPr>
          <w:rFonts w:ascii="Arial"/>
          <w:color w:val="231F20"/>
          <w:w w:val="110"/>
          <w:sz w:val="14"/>
        </w:rPr>
        <w:t>stimulation</w:t>
      </w:r>
    </w:p>
    <w:p>
      <w:pPr>
        <w:spacing w:after="0" w:line="266" w:lineRule="auto"/>
        <w:jc w:val="left"/>
        <w:rPr>
          <w:rFonts w:ascii="Arial"/>
          <w:sz w:val="14"/>
        </w:rPr>
        <w:sectPr>
          <w:type w:val="continuous"/>
          <w:pgSz w:w="11910" w:h="15600"/>
          <w:pgMar w:top="520" w:bottom="780" w:left="740" w:right="740"/>
          <w:cols w:num="2" w:equalWidth="0">
            <w:col w:w="2492" w:space="144"/>
            <w:col w:w="7794"/>
          </w:cols>
        </w:sectPr>
      </w:pPr>
    </w:p>
    <w:p>
      <w:pPr>
        <w:pStyle w:val="BodyText"/>
        <w:spacing w:before="9"/>
        <w:ind w:left="0"/>
        <w:rPr>
          <w:rFonts w:ascii="Arial"/>
          <w:sz w:val="20"/>
        </w:rPr>
      </w:pPr>
    </w:p>
    <w:p>
      <w:pPr>
        <w:spacing w:after="0"/>
        <w:rPr>
          <w:rFonts w:ascii="Arial"/>
          <w:sz w:val="20"/>
        </w:rPr>
        <w:sectPr>
          <w:headerReference w:type="default" r:id="rId29"/>
          <w:footerReference w:type="default" r:id="rId30"/>
          <w:pgSz w:w="11910" w:h="15600"/>
          <w:pgMar w:header="560" w:footer="0" w:top="840" w:bottom="280" w:left="740" w:right="740"/>
        </w:sectPr>
      </w:pPr>
    </w:p>
    <w:p>
      <w:pPr>
        <w:pStyle w:val="Heading1"/>
        <w:spacing w:before="109"/>
      </w:pPr>
      <w:bookmarkStart w:name="Introduction" w:id="3"/>
      <w:bookmarkEnd w:id="3"/>
      <w:r>
        <w:rPr/>
      </w:r>
      <w:r>
        <w:rPr>
          <w:color w:val="231F20"/>
        </w:rPr>
        <w:t>INTRODUCTION</w:t>
      </w:r>
    </w:p>
    <w:p>
      <w:pPr>
        <w:pStyle w:val="BodyText"/>
        <w:spacing w:line="213" w:lineRule="auto" w:before="204"/>
        <w:jc w:val="both"/>
      </w:pPr>
      <w:r>
        <w:rPr>
          <w:color w:val="231F20"/>
        </w:rPr>
        <w:t>Bioelectronic medicine progressively comes into focus as </w:t>
      </w:r>
      <w:r>
        <w:rPr>
          <w:color w:val="231F20"/>
          <w:spacing w:val="-14"/>
        </w:rPr>
        <w:t>a </w:t>
      </w:r>
      <w:r>
        <w:rPr>
          <w:color w:val="231F20"/>
        </w:rPr>
        <w:t>non-pharmaceutical treatment option for various diseases. </w:t>
      </w:r>
      <w:r>
        <w:rPr>
          <w:color w:val="231F20"/>
          <w:spacing w:val="-4"/>
        </w:rPr>
        <w:t>Here </w:t>
      </w:r>
      <w:r>
        <w:rPr>
          <w:color w:val="231F20"/>
        </w:rPr>
        <w:t>neuromodulation of the vagus nerve (VN) gained a special interest in recent</w:t>
      </w:r>
      <w:r>
        <w:rPr>
          <w:color w:val="231F20"/>
          <w:spacing w:val="-1"/>
        </w:rPr>
        <w:t> </w:t>
      </w:r>
      <w:r>
        <w:rPr>
          <w:color w:val="231F20"/>
        </w:rPr>
        <w:t>years.</w:t>
      </w:r>
    </w:p>
    <w:p>
      <w:pPr>
        <w:pStyle w:val="BodyText"/>
        <w:spacing w:line="213" w:lineRule="auto" w:before="4"/>
        <w:ind w:firstLine="229"/>
        <w:jc w:val="both"/>
      </w:pPr>
      <w:r>
        <w:rPr>
          <w:color w:val="231F20"/>
        </w:rPr>
        <w:t>This review aims  to  summarize  the  contemporary  </w:t>
      </w:r>
      <w:r>
        <w:rPr>
          <w:color w:val="231F20"/>
          <w:spacing w:val="-3"/>
        </w:rPr>
        <w:t>views  </w:t>
      </w:r>
      <w:r>
        <w:rPr>
          <w:color w:val="231F20"/>
        </w:rPr>
        <w:t>on the  electrical  stimulation  of  the  auricular  VN  (aVNS)  </w:t>
      </w:r>
      <w:r>
        <w:rPr>
          <w:color w:val="231F20"/>
          <w:spacing w:val="-11"/>
        </w:rPr>
        <w:t>as  </w:t>
      </w:r>
      <w:r>
        <w:rPr>
          <w:color w:val="231F20"/>
        </w:rPr>
        <w:t>a promising electroceutical therapy in humans. Catalysts </w:t>
      </w:r>
      <w:r>
        <w:rPr>
          <w:color w:val="231F20"/>
          <w:spacing w:val="-4"/>
        </w:rPr>
        <w:t>were </w:t>
      </w:r>
      <w:r>
        <w:rPr>
          <w:color w:val="231F20"/>
        </w:rPr>
        <w:t>the first two international workshops on aVNS in </w:t>
      </w:r>
      <w:r>
        <w:rPr>
          <w:color w:val="231F20"/>
          <w:spacing w:val="-4"/>
        </w:rPr>
        <w:t>Warsaw </w:t>
      </w:r>
      <w:r>
        <w:rPr>
          <w:color w:val="231F20"/>
        </w:rPr>
        <w:t>(February 16, 2017) and Vienna (October 26 and 27, </w:t>
      </w:r>
      <w:r>
        <w:rPr>
          <w:color w:val="231F20"/>
          <w:spacing w:val="-3"/>
        </w:rPr>
        <w:t>2017) </w:t>
      </w:r>
      <w:r>
        <w:rPr>
          <w:color w:val="231F20"/>
        </w:rPr>
        <w:t>within the scope of EU COST Action “European network </w:t>
      </w:r>
      <w:r>
        <w:rPr>
          <w:color w:val="231F20"/>
          <w:spacing w:val="-5"/>
        </w:rPr>
        <w:t>for </w:t>
      </w:r>
      <w:r>
        <w:rPr>
          <w:color w:val="231F20"/>
        </w:rPr>
        <w:t>innovative uses of EMFs in biomedical applications (BM1309).” In particular, the present review summarizes and </w:t>
      </w:r>
      <w:r>
        <w:rPr>
          <w:color w:val="231F20"/>
          <w:spacing w:val="-3"/>
        </w:rPr>
        <w:t>discusses </w:t>
      </w:r>
      <w:r>
        <w:rPr>
          <w:color w:val="231F20"/>
        </w:rPr>
        <w:t>technical issues, modeling concepts, regulatory and </w:t>
      </w:r>
      <w:r>
        <w:rPr>
          <w:color w:val="231F20"/>
          <w:spacing w:val="-3"/>
        </w:rPr>
        <w:t>safety </w:t>
      </w:r>
      <w:r>
        <w:rPr>
          <w:color w:val="231F20"/>
        </w:rPr>
        <w:t>requirements, and novel architectures of open and closed-loop aVNS paradigms. A focussed review on the physiological role of VN including a biology-driven rationale for aVNS is provided </w:t>
      </w:r>
      <w:r>
        <w:rPr>
          <w:color w:val="231F20"/>
          <w:spacing w:val="-8"/>
        </w:rPr>
        <w:t>in </w:t>
      </w:r>
      <w:r>
        <w:rPr>
          <w:color w:val="231F20"/>
        </w:rPr>
        <w:t>our accompanying article (</w:t>
      </w:r>
      <w:hyperlink w:history="true" w:anchor="_bookmark49">
        <w:r>
          <w:rPr>
            <w:color w:val="6D6E71"/>
          </w:rPr>
          <w:t>Kaniusas et al.</w:t>
        </w:r>
      </w:hyperlink>
      <w:r>
        <w:rPr>
          <w:color w:val="6D6E71"/>
        </w:rPr>
        <w:t>,</w:t>
      </w:r>
      <w:r>
        <w:rPr>
          <w:color w:val="6D6E71"/>
          <w:spacing w:val="-1"/>
        </w:rPr>
        <w:t> </w:t>
      </w:r>
      <w:hyperlink w:history="true" w:anchor="_bookmark49">
        <w:r>
          <w:rPr>
            <w:color w:val="6D6E71"/>
          </w:rPr>
          <w:t>2019</w:t>
        </w:r>
      </w:hyperlink>
      <w:r>
        <w:rPr>
          <w:color w:val="231F20"/>
        </w:rPr>
        <w:t>).</w:t>
      </w:r>
    </w:p>
    <w:p>
      <w:pPr>
        <w:pStyle w:val="BodyText"/>
        <w:spacing w:line="213" w:lineRule="auto" w:before="14"/>
        <w:ind w:firstLine="229"/>
        <w:jc w:val="both"/>
      </w:pPr>
      <w:r>
        <w:rPr>
          <w:color w:val="231F20"/>
        </w:rPr>
        <w:t>We start with a short introduction on biophysical </w:t>
      </w:r>
      <w:r>
        <w:rPr>
          <w:color w:val="231F20"/>
          <w:spacing w:val="-3"/>
        </w:rPr>
        <w:t>principles </w:t>
      </w:r>
      <w:r>
        <w:rPr>
          <w:color w:val="231F20"/>
        </w:rPr>
        <w:t>underlying aVNS and continue with technological issues </w:t>
      </w:r>
      <w:r>
        <w:rPr>
          <w:color w:val="231F20"/>
          <w:spacing w:val="-6"/>
        </w:rPr>
        <w:t>on </w:t>
      </w:r>
      <w:r>
        <w:rPr>
          <w:color w:val="231F20"/>
        </w:rPr>
        <w:t>aVNS and the  associated  challenges  from  an  engineering point of view. Then we revise </w:t>
      </w:r>
      <w:r>
        <w:rPr>
          <w:i/>
          <w:color w:val="231F20"/>
        </w:rPr>
        <w:t>in silico </w:t>
      </w:r>
      <w:r>
        <w:rPr>
          <w:color w:val="231F20"/>
        </w:rPr>
        <w:t>modeling to optimize aVNS  technology  and  closed-loop  aVNS  to   </w:t>
      </w:r>
      <w:r>
        <w:rPr>
          <w:color w:val="231F20"/>
          <w:spacing w:val="-3"/>
        </w:rPr>
        <w:t>personalize </w:t>
      </w:r>
      <w:r>
        <w:rPr>
          <w:color w:val="231F20"/>
        </w:rPr>
        <w:t>aVNS therapy. Future directions in aVNS are identified </w:t>
      </w:r>
      <w:r>
        <w:rPr>
          <w:color w:val="231F20"/>
          <w:spacing w:val="-6"/>
        </w:rPr>
        <w:t>to </w:t>
      </w:r>
      <w:r>
        <w:rPr>
          <w:color w:val="231F20"/>
        </w:rPr>
        <w:t>complement this review.</w:t>
      </w:r>
    </w:p>
    <w:p>
      <w:pPr>
        <w:pStyle w:val="BodyText"/>
        <w:spacing w:line="213" w:lineRule="auto" w:before="5"/>
        <w:ind w:firstLine="229"/>
        <w:jc w:val="both"/>
      </w:pPr>
      <w:r>
        <w:rPr>
          <w:color w:val="231F20"/>
        </w:rPr>
        <w:t>In short, VN plays a crucial role in sensing and regulating bodily states while forming brain-body connections. </w:t>
      </w:r>
      <w:r>
        <w:rPr>
          <w:color w:val="231F20"/>
          <w:spacing w:val="-6"/>
        </w:rPr>
        <w:t>The </w:t>
      </w:r>
      <w:r>
        <w:rPr>
          <w:color w:val="231F20"/>
        </w:rPr>
        <w:t>complex anatomic and physiologic structure of VN </w:t>
      </w:r>
      <w:r>
        <w:rPr>
          <w:color w:val="231F20"/>
          <w:spacing w:val="-4"/>
        </w:rPr>
        <w:t>yields </w:t>
      </w:r>
      <w:r>
        <w:rPr>
          <w:color w:val="231F20"/>
        </w:rPr>
        <w:t>challenges in the engineering of effective aVNS devices. </w:t>
      </w:r>
      <w:r>
        <w:rPr>
          <w:color w:val="231F20"/>
          <w:spacing w:val="-6"/>
        </w:rPr>
        <w:t>In </w:t>
      </w:r>
      <w:r>
        <w:rPr>
          <w:color w:val="231F20"/>
        </w:rPr>
        <w:t>particular, specific fibers of VN determine their particular signaling properties and projection sites, which require </w:t>
      </w:r>
      <w:r>
        <w:rPr>
          <w:color w:val="231F20"/>
          <w:spacing w:val="-4"/>
        </w:rPr>
        <w:t>aVNS  </w:t>
      </w:r>
      <w:r>
        <w:rPr>
          <w:color w:val="231F20"/>
          <w:spacing w:val="35"/>
        </w:rPr>
        <w:t> </w:t>
      </w:r>
      <w:r>
        <w:rPr>
          <w:color w:val="231F20"/>
        </w:rPr>
        <w:t>to be tuned to specific stimulation patterns. These </w:t>
      </w:r>
      <w:r>
        <w:rPr>
          <w:color w:val="231F20"/>
          <w:spacing w:val="-3"/>
        </w:rPr>
        <w:t>should </w:t>
      </w:r>
      <w:r>
        <w:rPr>
          <w:color w:val="231F20"/>
        </w:rPr>
        <w:t>consider the degree of myelination of VN fibers – myelinated </w:t>
      </w:r>
      <w:r>
        <w:rPr>
          <w:color w:val="231F20"/>
          <w:spacing w:val="-15"/>
        </w:rPr>
        <w:t>A </w:t>
      </w:r>
      <w:r>
        <w:rPr>
          <w:color w:val="231F20"/>
        </w:rPr>
        <w:t>and B fibers intermingling with non-myelinated C fibers, </w:t>
      </w:r>
      <w:r>
        <w:rPr>
          <w:color w:val="231F20"/>
          <w:spacing w:val="-3"/>
        </w:rPr>
        <w:t>their </w:t>
      </w:r>
      <w:r>
        <w:rPr>
          <w:color w:val="231F20"/>
        </w:rPr>
        <w:t>associated excitability and direction of the information</w:t>
      </w:r>
      <w:r>
        <w:rPr>
          <w:color w:val="231F20"/>
          <w:spacing w:val="-5"/>
        </w:rPr>
        <w:t> </w:t>
      </w:r>
      <w:r>
        <w:rPr>
          <w:color w:val="231F20"/>
        </w:rPr>
        <w:t>transfer.</w:t>
      </w:r>
    </w:p>
    <w:p>
      <w:pPr>
        <w:pStyle w:val="BodyText"/>
        <w:spacing w:line="213" w:lineRule="auto" w:before="10"/>
        <w:ind w:firstLine="229"/>
        <w:jc w:val="both"/>
      </w:pPr>
      <w:r>
        <w:rPr/>
        <w:pict>
          <v:shape style="position:absolute;margin-left:301.521454pt;margin-top:73.144104pt;width:146.4pt;height:11.5pt;mso-position-horizontal-relative:page;mso-position-vertical-relative:paragraph;z-index:1288" type="#_x0000_t202" filled="true" fillcolor="#fde164" stroked="false">
            <v:textbox inset="0,0,0,0">
              <w:txbxContent>
                <w:p>
                  <w:pPr>
                    <w:pStyle w:val="BodyText"/>
                    <w:spacing w:line="229" w:lineRule="exact"/>
                    <w:ind w:left="42"/>
                  </w:pPr>
                  <w:r>
                    <w:rPr>
                      <w:color w:val="231F20"/>
                    </w:rPr>
                    <w:t>aVNS, and minimally invasive aVNS:</w:t>
                  </w:r>
                </w:p>
              </w:txbxContent>
            </v:textbox>
            <v:fill opacity="26214f" type="solid"/>
            <w10:wrap type="none"/>
          </v:shape>
        </w:pict>
      </w:r>
      <w:r>
        <w:rPr/>
        <w:pict>
          <v:shape style="position:absolute;margin-left:301.521454pt;margin-top:11.698303pt;width:225.65pt;height:14.95pt;mso-position-horizontal-relative:page;mso-position-vertical-relative:paragraph;z-index:1312" type="#_x0000_t202" filled="true" fillcolor="#fde164" stroked="false">
            <v:textbox inset="0,0,0,0">
              <w:txbxContent>
                <w:p>
                  <w:pPr>
                    <w:spacing w:before="9"/>
                    <w:ind w:left="42" w:right="0" w:firstLine="0"/>
                    <w:jc w:val="left"/>
                    <w:rPr>
                      <w:rFonts w:ascii="Arial"/>
                      <w:sz w:val="24"/>
                    </w:rPr>
                  </w:pPr>
                  <w:r>
                    <w:rPr>
                      <w:rFonts w:ascii="Arial"/>
                      <w:color w:val="231F20"/>
                      <w:w w:val="105"/>
                      <w:sz w:val="24"/>
                    </w:rPr>
                    <w:t>Invasive VNS </w:t>
                  </w:r>
                  <w:r>
                    <w:rPr>
                      <w:rFonts w:ascii="Arial"/>
                      <w:color w:val="231F20"/>
                      <w:spacing w:val="-3"/>
                      <w:w w:val="105"/>
                      <w:sz w:val="24"/>
                    </w:rPr>
                    <w:t>Versus </w:t>
                  </w:r>
                  <w:r>
                    <w:rPr>
                      <w:rFonts w:ascii="Arial"/>
                      <w:color w:val="231F20"/>
                      <w:w w:val="105"/>
                      <w:sz w:val="24"/>
                    </w:rPr>
                    <w:t>Non-invasive VNS</w:t>
                  </w:r>
                </w:p>
              </w:txbxContent>
            </v:textbox>
            <v:fill opacity="26214f" type="solid"/>
            <w10:wrap type="none"/>
          </v:shape>
        </w:pict>
      </w:r>
      <w:r>
        <w:rPr>
          <w:color w:val="231F20"/>
        </w:rPr>
        <w:t>Most VN fibers (about 80%) are afferent sensory </w:t>
      </w:r>
      <w:r>
        <w:rPr>
          <w:color w:val="231F20"/>
          <w:spacing w:val="-3"/>
        </w:rPr>
        <w:t>fibers </w:t>
      </w:r>
      <w:r>
        <w:rPr>
          <w:color w:val="231F20"/>
        </w:rPr>
        <w:t>carrying somatic and visceral information to  the  brainstem  and thus providing a unique entrance to the brain (</w:t>
      </w:r>
      <w:hyperlink w:history="true" w:anchor="_bookmark14">
        <w:r>
          <w:rPr>
            <w:color w:val="6D6E71"/>
          </w:rPr>
          <w:t>Berthoud</w:t>
        </w:r>
      </w:hyperlink>
      <w:r>
        <w:rPr>
          <w:color w:val="6D6E71"/>
        </w:rPr>
        <w:t> </w:t>
      </w:r>
      <w:hyperlink w:history="true" w:anchor="_bookmark14">
        <w:r>
          <w:rPr>
            <w:color w:val="6D6E71"/>
          </w:rPr>
          <w:t>and Neuhuber</w:t>
        </w:r>
      </w:hyperlink>
      <w:r>
        <w:rPr>
          <w:color w:val="6D6E71"/>
        </w:rPr>
        <w:t>, </w:t>
      </w:r>
      <w:hyperlink w:history="true" w:anchor="_bookmark14">
        <w:r>
          <w:rPr>
            <w:color w:val="6D6E71"/>
          </w:rPr>
          <w:t>2001</w:t>
        </w:r>
      </w:hyperlink>
      <w:r>
        <w:rPr>
          <w:color w:val="231F20"/>
        </w:rPr>
        <w:t>; </w:t>
      </w:r>
      <w:hyperlink w:history="true" w:anchor="_bookmark37">
        <w:r>
          <w:rPr>
            <w:color w:val="6D6E71"/>
          </w:rPr>
          <w:t>Groves and Brown</w:t>
        </w:r>
      </w:hyperlink>
      <w:r>
        <w:rPr>
          <w:color w:val="6D6E71"/>
        </w:rPr>
        <w:t>, </w:t>
      </w:r>
      <w:hyperlink w:history="true" w:anchor="_bookmark37">
        <w:r>
          <w:rPr>
            <w:color w:val="6D6E71"/>
          </w:rPr>
          <w:t>2005</w:t>
        </w:r>
      </w:hyperlink>
      <w:r>
        <w:rPr>
          <w:color w:val="231F20"/>
        </w:rPr>
        <w:t>). As shown </w:t>
      </w:r>
      <w:r>
        <w:rPr>
          <w:color w:val="231F20"/>
          <w:spacing w:val="-7"/>
        </w:rPr>
        <w:t>in </w:t>
      </w:r>
      <w:hyperlink w:history="true" w:anchor="_bookmark1">
        <w:r>
          <w:rPr>
            <w:b/>
            <w:color w:val="231F20"/>
          </w:rPr>
          <w:t>Figure 1A</w:t>
        </w:r>
      </w:hyperlink>
      <w:r>
        <w:rPr>
          <w:color w:val="231F20"/>
        </w:rPr>
        <w:t>, most afferent fibers of VN end in the nucleus </w:t>
      </w:r>
      <w:r>
        <w:rPr>
          <w:color w:val="231F20"/>
          <w:spacing w:val="-7"/>
        </w:rPr>
        <w:t>of      </w:t>
      </w:r>
      <w:r>
        <w:rPr>
          <w:color w:val="231F20"/>
        </w:rPr>
        <w:t>the solitary tract (NTS). The rest of VN fibers (about 20%) are efferent visceromotor fibers governing neurogenic, myogenic, and endocrine actions within projected</w:t>
      </w:r>
      <w:r>
        <w:rPr>
          <w:color w:val="231F20"/>
          <w:spacing w:val="-1"/>
        </w:rPr>
        <w:t> </w:t>
      </w:r>
      <w:r>
        <w:rPr>
          <w:color w:val="231F20"/>
        </w:rPr>
        <w:t>organs.</w:t>
      </w:r>
    </w:p>
    <w:p>
      <w:pPr>
        <w:pStyle w:val="BodyText"/>
        <w:spacing w:line="213" w:lineRule="auto" w:before="2"/>
        <w:ind w:firstLine="229"/>
        <w:jc w:val="both"/>
      </w:pPr>
      <w:r>
        <w:rPr>
          <w:color w:val="231F20"/>
        </w:rPr>
        <w:t>From an engineering point of view, VN connects specific sensors and effectors in the periphery with the central nervous system. Mediated connections of VN include projections </w:t>
      </w:r>
      <w:r>
        <w:rPr>
          <w:color w:val="231F20"/>
          <w:spacing w:val="-8"/>
        </w:rPr>
        <w:t>to </w:t>
      </w:r>
      <w:r>
        <w:rPr>
          <w:color w:val="231F20"/>
        </w:rPr>
        <w:t>brain regions mediating homeostatic signaling and </w:t>
      </w:r>
      <w:r>
        <w:rPr>
          <w:color w:val="231F20"/>
          <w:spacing w:val="-2"/>
        </w:rPr>
        <w:t>multisensory </w:t>
      </w:r>
      <w:r>
        <w:rPr>
          <w:color w:val="231F20"/>
        </w:rPr>
        <w:t>integration and thus allowing a modulative access of VN to</w:t>
      </w:r>
      <w:r>
        <w:rPr>
          <w:color w:val="231F20"/>
          <w:spacing w:val="-19"/>
        </w:rPr>
        <w:t> </w:t>
      </w:r>
      <w:r>
        <w:rPr>
          <w:color w:val="231F20"/>
          <w:spacing w:val="-3"/>
        </w:rPr>
        <w:t>high- </w:t>
      </w:r>
      <w:r>
        <w:rPr>
          <w:color w:val="231F20"/>
        </w:rPr>
        <w:t>level brain functions (</w:t>
      </w:r>
      <w:hyperlink w:history="true" w:anchor="_bookmark14">
        <w:r>
          <w:rPr>
            <w:color w:val="6D6E71"/>
          </w:rPr>
          <w:t>Berthoud and Neuhuber</w:t>
        </w:r>
      </w:hyperlink>
      <w:r>
        <w:rPr>
          <w:color w:val="6D6E71"/>
        </w:rPr>
        <w:t>, </w:t>
      </w:r>
      <w:hyperlink w:history="true" w:anchor="_bookmark14">
        <w:r>
          <w:rPr>
            <w:color w:val="6D6E71"/>
          </w:rPr>
          <w:t>2001</w:t>
        </w:r>
      </w:hyperlink>
      <w:r>
        <w:rPr>
          <w:color w:val="231F20"/>
        </w:rPr>
        <w:t>). </w:t>
      </w:r>
      <w:r>
        <w:rPr>
          <w:color w:val="231F20"/>
          <w:spacing w:val="-3"/>
        </w:rPr>
        <w:t>Therefore, </w:t>
      </w:r>
      <w:r>
        <w:rPr>
          <w:color w:val="231F20"/>
        </w:rPr>
        <w:t>signals</w:t>
      </w:r>
      <w:r>
        <w:rPr>
          <w:color w:val="231F20"/>
          <w:spacing w:val="-5"/>
        </w:rPr>
        <w:t> </w:t>
      </w:r>
      <w:r>
        <w:rPr>
          <w:color w:val="231F20"/>
        </w:rPr>
        <w:t>generated</w:t>
      </w:r>
      <w:r>
        <w:rPr>
          <w:color w:val="231F20"/>
          <w:spacing w:val="-4"/>
        </w:rPr>
        <w:t> </w:t>
      </w:r>
      <w:r>
        <w:rPr>
          <w:color w:val="231F20"/>
        </w:rPr>
        <w:t>in</w:t>
      </w:r>
      <w:r>
        <w:rPr>
          <w:color w:val="231F20"/>
          <w:spacing w:val="-4"/>
        </w:rPr>
        <w:t> </w:t>
      </w:r>
      <w:r>
        <w:rPr>
          <w:color w:val="231F20"/>
        </w:rPr>
        <w:t>VN</w:t>
      </w:r>
      <w:r>
        <w:rPr>
          <w:color w:val="231F20"/>
          <w:spacing w:val="-4"/>
        </w:rPr>
        <w:t> </w:t>
      </w:r>
      <w:r>
        <w:rPr>
          <w:color w:val="231F20"/>
        </w:rPr>
        <w:t>have</w:t>
      </w:r>
      <w:r>
        <w:rPr>
          <w:color w:val="231F20"/>
          <w:spacing w:val="-4"/>
        </w:rPr>
        <w:t> </w:t>
      </w:r>
      <w:r>
        <w:rPr>
          <w:color w:val="231F20"/>
        </w:rPr>
        <w:t>the</w:t>
      </w:r>
      <w:r>
        <w:rPr>
          <w:color w:val="231F20"/>
          <w:spacing w:val="-4"/>
        </w:rPr>
        <w:t> </w:t>
      </w:r>
      <w:r>
        <w:rPr>
          <w:color w:val="231F20"/>
        </w:rPr>
        <w:t>potential</w:t>
      </w:r>
      <w:r>
        <w:rPr>
          <w:color w:val="231F20"/>
          <w:spacing w:val="-4"/>
        </w:rPr>
        <w:t> </w:t>
      </w:r>
      <w:r>
        <w:rPr>
          <w:color w:val="231F20"/>
        </w:rPr>
        <w:t>to</w:t>
      </w:r>
      <w:r>
        <w:rPr>
          <w:color w:val="231F20"/>
          <w:spacing w:val="-4"/>
        </w:rPr>
        <w:t> </w:t>
      </w:r>
      <w:r>
        <w:rPr>
          <w:color w:val="231F20"/>
        </w:rPr>
        <w:t>affect</w:t>
      </w:r>
      <w:r>
        <w:rPr>
          <w:color w:val="231F20"/>
          <w:spacing w:val="-4"/>
        </w:rPr>
        <w:t> </w:t>
      </w:r>
      <w:r>
        <w:rPr>
          <w:color w:val="231F20"/>
        </w:rPr>
        <w:t>a</w:t>
      </w:r>
      <w:r>
        <w:rPr>
          <w:color w:val="231F20"/>
          <w:spacing w:val="-4"/>
        </w:rPr>
        <w:t> </w:t>
      </w:r>
      <w:r>
        <w:rPr>
          <w:color w:val="231F20"/>
        </w:rPr>
        <w:t>broad</w:t>
      </w:r>
      <w:r>
        <w:rPr>
          <w:color w:val="231F20"/>
          <w:spacing w:val="-4"/>
        </w:rPr>
        <w:t> </w:t>
      </w:r>
      <w:r>
        <w:rPr>
          <w:color w:val="231F20"/>
        </w:rPr>
        <w:t>range of basic brain functions and thus to affect the entire organism of the body in terms of its protection.</w:t>
      </w:r>
    </w:p>
    <w:p>
      <w:pPr>
        <w:pStyle w:val="BodyText"/>
        <w:spacing w:line="213" w:lineRule="auto" w:before="9"/>
        <w:ind w:firstLine="229"/>
        <w:jc w:val="both"/>
      </w:pPr>
      <w:r>
        <w:rPr>
          <w:color w:val="231F20"/>
        </w:rPr>
        <w:t>The external ear is an ideal place for a non-invasive or minimally invasive stimulation of VN. In fact, the auricular branch of VN surfaces as the auricular afferent VN (aVN) and thus forms a cutaneous receptive field in the pinna of the ear.</w:t>
      </w:r>
    </w:p>
    <w:p>
      <w:pPr>
        <w:pStyle w:val="BodyText"/>
        <w:spacing w:line="213" w:lineRule="auto" w:before="112"/>
        <w:ind w:right="155"/>
        <w:jc w:val="both"/>
      </w:pPr>
      <w:r>
        <w:rPr/>
        <w:br w:type="column"/>
      </w:r>
      <w:r>
        <w:rPr>
          <w:color w:val="231F20"/>
        </w:rPr>
        <w:t>Like VN, aVN is composed out of myelinated A</w:t>
      </w:r>
      <w:r>
        <w:rPr>
          <w:rFonts w:ascii="Arial Black" w:hAnsi="Arial Black"/>
          <w:color w:val="231F20"/>
        </w:rPr>
        <w:t>β </w:t>
      </w:r>
      <w:r>
        <w:rPr>
          <w:color w:val="231F20"/>
        </w:rPr>
        <w:t>and A</w:t>
      </w:r>
      <w:r>
        <w:rPr>
          <w:rFonts w:ascii="Arial Black" w:hAnsi="Arial Black"/>
          <w:color w:val="231F20"/>
        </w:rPr>
        <w:t>δ </w:t>
      </w:r>
      <w:r>
        <w:rPr>
          <w:color w:val="231F20"/>
        </w:rPr>
        <w:t>fibers (</w:t>
      </w:r>
      <w:hyperlink w:history="true" w:anchor="_bookmark87">
        <w:r>
          <w:rPr>
            <w:color w:val="6D6E71"/>
          </w:rPr>
          <w:t>Safi et al.</w:t>
        </w:r>
      </w:hyperlink>
      <w:r>
        <w:rPr>
          <w:color w:val="6D6E71"/>
        </w:rPr>
        <w:t>, </w:t>
      </w:r>
      <w:hyperlink w:history="true" w:anchor="_bookmark87">
        <w:r>
          <w:rPr>
            <w:color w:val="6D6E71"/>
          </w:rPr>
          <w:t>2016</w:t>
        </w:r>
      </w:hyperlink>
      <w:r>
        <w:rPr>
          <w:color w:val="231F20"/>
        </w:rPr>
        <w:t>) and non-myelinated C fibers (</w:t>
      </w:r>
      <w:hyperlink w:history="true" w:anchor="_bookmark96">
        <w:r>
          <w:rPr>
            <w:color w:val="6D6E71"/>
          </w:rPr>
          <w:t>Standring</w:t>
        </w:r>
      </w:hyperlink>
      <w:r>
        <w:rPr>
          <w:color w:val="6D6E71"/>
        </w:rPr>
        <w:t>, </w:t>
      </w:r>
      <w:hyperlink w:history="true" w:anchor="_bookmark96">
        <w:r>
          <w:rPr>
            <w:color w:val="6D6E71"/>
          </w:rPr>
          <w:t>2016</w:t>
        </w:r>
      </w:hyperlink>
      <w:r>
        <w:rPr>
          <w:color w:val="231F20"/>
        </w:rPr>
        <w:t>). The receptive field is susceptible  to  external  stimuli  in</w:t>
      </w:r>
      <w:r>
        <w:rPr>
          <w:color w:val="231F20"/>
          <w:spacing w:val="19"/>
        </w:rPr>
        <w:t> </w:t>
      </w:r>
      <w:r>
        <w:rPr>
          <w:color w:val="231F20"/>
        </w:rPr>
        <w:t>terms of peripheral nerve stimulation. In particular, aVN is </w:t>
      </w:r>
      <w:r>
        <w:rPr>
          <w:color w:val="231F20"/>
          <w:spacing w:val="-3"/>
        </w:rPr>
        <w:t>available </w:t>
      </w:r>
      <w:r>
        <w:rPr>
          <w:color w:val="231F20"/>
        </w:rPr>
        <w:t>for an easy external access via electrical stimulation in terms of aVNS, which then connects directly and favorably the applied stimuli to the brainstem, as shown in </w:t>
      </w:r>
      <w:hyperlink w:history="true" w:anchor="_bookmark1">
        <w:r>
          <w:rPr>
            <w:b/>
            <w:color w:val="231F20"/>
          </w:rPr>
          <w:t>Figure 1B</w:t>
        </w:r>
      </w:hyperlink>
      <w:r>
        <w:rPr>
          <w:color w:val="231F20"/>
        </w:rPr>
        <w:t>. The auricle  and especially its aVN endings might become a powerful </w:t>
      </w:r>
      <w:r>
        <w:rPr>
          <w:color w:val="231F20"/>
          <w:spacing w:val="-3"/>
        </w:rPr>
        <w:t>direct </w:t>
      </w:r>
      <w:r>
        <w:rPr>
          <w:color w:val="231F20"/>
        </w:rPr>
        <w:t>gateway to the brain, offering the most affordable manipulation of the central nervous system.</w:t>
      </w:r>
    </w:p>
    <w:p>
      <w:pPr>
        <w:pStyle w:val="BodyText"/>
        <w:spacing w:line="213" w:lineRule="auto"/>
        <w:ind w:right="155" w:firstLine="229"/>
        <w:jc w:val="both"/>
      </w:pPr>
      <w:r>
        <w:rPr/>
        <w:pict>
          <v:shape style="position:absolute;margin-left:301.521027pt;margin-top:45.773872pt;width:251.05pt;height:46.55pt;mso-position-horizontal-relative:page;mso-position-vertical-relative:paragraph;z-index:-42208" coordorigin="6030,915" coordsize="5021,931" path="m11051,915l6030,915,6030,1145,6030,1374,6073,1374,6041,1428,6030,1495,6041,1562,6069,1610,6041,1657,6030,1724,6041,1792,6073,1846,10353,1846,10386,1792,10396,1724,10386,1657,10361,1616,11008,1616,11040,1562,11051,1495,11040,1428,11008,1374,11051,1374,11051,1145,11051,915e" filled="true" fillcolor="#fde164" stroked="false">
            <v:path arrowok="t"/>
            <v:fill opacity="26214f" type="solid"/>
            <w10:wrap type="none"/>
          </v:shape>
        </w:pict>
      </w:r>
      <w:r>
        <w:rPr>
          <w:color w:val="231F20"/>
        </w:rPr>
        <w:t>Since aVNS projects  directly  to  NTS  (</w:t>
      </w:r>
      <w:hyperlink w:history="true" w:anchor="_bookmark1">
        <w:r>
          <w:rPr>
            <w:b/>
            <w:color w:val="231F20"/>
          </w:rPr>
          <w:t>Figure  1A</w:t>
        </w:r>
      </w:hyperlink>
      <w:r>
        <w:rPr>
          <w:color w:val="231F20"/>
        </w:rPr>
        <w:t>),  </w:t>
      </w:r>
      <w:r>
        <w:rPr>
          <w:color w:val="231F20"/>
          <w:spacing w:val="-4"/>
        </w:rPr>
        <w:t>both</w:t>
      </w:r>
      <w:r>
        <w:rPr>
          <w:color w:val="231F20"/>
          <w:spacing w:val="35"/>
        </w:rPr>
        <w:t> </w:t>
      </w:r>
      <w:r>
        <w:rPr>
          <w:color w:val="231F20"/>
        </w:rPr>
        <w:t>the autonomic  and  central  nervous  systems  are  modulated  by aVNS. Consequently, since the autonomic nervous system, composed out of sympathetic and parasympathetic branches, governs systemic parameters of cardiovascular, respiratory, and immunological functions to stay within homeostatic limits </w:t>
      </w:r>
      <w:r>
        <w:rPr>
          <w:color w:val="231F20"/>
          <w:spacing w:val="-5"/>
        </w:rPr>
        <w:t>and, </w:t>
      </w:r>
      <w:r>
        <w:rPr>
          <w:color w:val="231F20"/>
        </w:rPr>
        <w:t>on the other hand, aVNS modulates the parasympathetic aVN, aVNS effects on the body can be expected to be</w:t>
      </w:r>
      <w:r>
        <w:rPr>
          <w:color w:val="231F20"/>
          <w:spacing w:val="-3"/>
        </w:rPr>
        <w:t> </w:t>
      </w:r>
      <w:r>
        <w:rPr>
          <w:color w:val="231F20"/>
        </w:rPr>
        <w:t>systemic.</w:t>
      </w:r>
    </w:p>
    <w:p>
      <w:pPr>
        <w:pStyle w:val="BodyText"/>
        <w:spacing w:line="213" w:lineRule="auto" w:before="6"/>
        <w:ind w:right="155" w:firstLine="229"/>
        <w:jc w:val="both"/>
      </w:pPr>
      <w:r>
        <w:rPr/>
        <w:pict>
          <v:shape style="position:absolute;margin-left:375.013245pt;margin-top:91.605797pt;width:177.55pt;height:11.5pt;mso-position-horizontal-relative:page;mso-position-vertical-relative:paragraph;z-index:-42112" type="#_x0000_t202" filled="true" fillcolor="#fde164" stroked="false">
            <v:textbox inset="0,0,0,0">
              <w:txbxContent>
                <w:p>
                  <w:pPr>
                    <w:pStyle w:val="BodyText"/>
                    <w:spacing w:line="229" w:lineRule="exact"/>
                    <w:ind w:left="42"/>
                  </w:pPr>
                  <w:r>
                    <w:rPr>
                      <w:color w:val="231F20"/>
                    </w:rPr>
                    <w:t>The brain chemistry, nociceptive processing,</w:t>
                  </w:r>
                </w:p>
              </w:txbxContent>
            </v:textbox>
            <v:fill opacity="26214f" type="solid"/>
            <w10:wrap type="none"/>
          </v:shape>
        </w:pict>
      </w:r>
      <w:r>
        <w:rPr>
          <w:color w:val="231F20"/>
        </w:rPr>
        <w:t>Thus, aVNS is a peripheral, non-pharmacological, </w:t>
      </w:r>
      <w:r>
        <w:rPr>
          <w:color w:val="231F20"/>
          <w:spacing w:val="-4"/>
        </w:rPr>
        <w:t>and </w:t>
      </w:r>
      <w:r>
        <w:rPr>
          <w:color w:val="231F20"/>
        </w:rPr>
        <w:t>minimally invasive neuromodulation technique. Due </w:t>
      </w:r>
      <w:r>
        <w:rPr>
          <w:color w:val="231F20"/>
          <w:spacing w:val="-7"/>
        </w:rPr>
        <w:t>to  </w:t>
      </w:r>
      <w:r>
        <w:rPr>
          <w:color w:val="231F20"/>
        </w:rPr>
        <w:t>systemic effects of aVNS –  and,  in  general,  of  any  vagus  nerve stimulation (VNS) – many different biophysical mechanisms have been found  to  be  modulated,  as  described in our accompanying article (</w:t>
      </w:r>
      <w:hyperlink w:history="true" w:anchor="_bookmark49">
        <w:r>
          <w:rPr>
            <w:color w:val="6D6E71"/>
          </w:rPr>
          <w:t>Kaniusas et al.</w:t>
        </w:r>
      </w:hyperlink>
      <w:r>
        <w:rPr>
          <w:color w:val="6D6E71"/>
        </w:rPr>
        <w:t>, </w:t>
      </w:r>
      <w:hyperlink w:history="true" w:anchor="_bookmark49">
        <w:r>
          <w:rPr>
            <w:color w:val="6D6E71"/>
          </w:rPr>
          <w:t>2019</w:t>
        </w:r>
      </w:hyperlink>
      <w:r>
        <w:rPr>
          <w:color w:val="231F20"/>
        </w:rPr>
        <w:t>). In </w:t>
      </w:r>
      <w:r>
        <w:rPr>
          <w:color w:val="231F20"/>
          <w:spacing w:val="-4"/>
        </w:rPr>
        <w:t>short, </w:t>
      </w:r>
      <w:r>
        <w:rPr>
          <w:color w:val="231F20"/>
        </w:rPr>
        <w:t>aVNS alters signal processing in the central nervous system, activates reflex circuitries, and exploits brain plasticity and neural</w:t>
      </w:r>
      <w:r>
        <w:rPr>
          <w:color w:val="231F20"/>
          <w:spacing w:val="16"/>
        </w:rPr>
        <w:t> </w:t>
      </w:r>
      <w:r>
        <w:rPr>
          <w:color w:val="231F20"/>
        </w:rPr>
        <w:t>adaptation.</w:t>
      </w:r>
    </w:p>
    <w:p>
      <w:pPr>
        <w:pStyle w:val="BodyText"/>
        <w:ind w:left="116"/>
        <w:rPr>
          <w:sz w:val="20"/>
        </w:rPr>
      </w:pPr>
      <w:r>
        <w:rPr/>
        <w:pict>
          <v:shape style="position:absolute;margin-left:301.521454pt;margin-top:57.9603pt;width:96.2pt;height:11.5pt;mso-position-horizontal-relative:page;mso-position-vertical-relative:paragraph;z-index:1336" type="#_x0000_t202" filled="true" fillcolor="#fde164" stroked="false">
            <v:textbox inset="0,0,0,0">
              <w:txbxContent>
                <w:p>
                  <w:pPr>
                    <w:pStyle w:val="BodyText"/>
                    <w:spacing w:line="229" w:lineRule="exact"/>
                    <w:ind w:left="42"/>
                  </w:pPr>
                  <w:r>
                    <w:rPr>
                      <w:color w:val="231F20"/>
                    </w:rPr>
                    <w:t>psychometric functions.</w:t>
                  </w:r>
                </w:p>
              </w:txbxContent>
            </v:textbox>
            <v:fill opacity="26214f" type="solid"/>
            <w10:wrap type="none"/>
          </v:shape>
        </w:pict>
      </w:r>
      <w:r>
        <w:rPr>
          <w:sz w:val="20"/>
        </w:rPr>
        <w:pict>
          <v:shape style="width:251.05pt;height:58pt;mso-position-horizontal-relative:char;mso-position-vertical-relative:line" type="#_x0000_t202" filled="true" fillcolor="#fde164" stroked="false">
            <w10:anchorlock/>
            <v:textbox inset="0,0,0,0">
              <w:txbxContent>
                <w:p>
                  <w:pPr>
                    <w:pStyle w:val="BodyText"/>
                    <w:spacing w:line="213" w:lineRule="auto" w:before="7"/>
                    <w:ind w:left="42" w:right="40"/>
                    <w:jc w:val="both"/>
                  </w:pPr>
                  <w:r>
                    <w:rPr>
                      <w:color w:val="231F20"/>
                    </w:rPr>
                    <w:t>inflammation, and autonomic function are modulated </w:t>
                  </w:r>
                  <w:r>
                    <w:rPr>
                      <w:color w:val="231F20"/>
                      <w:spacing w:val="-4"/>
                    </w:rPr>
                    <w:t>for </w:t>
                  </w:r>
                  <w:r>
                    <w:rPr>
                      <w:color w:val="231F20"/>
                    </w:rPr>
                    <w:t>different  therapeutic  purposes.  Disease   mitigating   effects and sustainable therapeutic applications range from </w:t>
                  </w:r>
                  <w:r>
                    <w:rPr>
                      <w:color w:val="231F20"/>
                      <w:spacing w:val="-3"/>
                    </w:rPr>
                    <w:t>chronic  </w:t>
                  </w:r>
                  <w:r>
                    <w:rPr>
                      <w:color w:val="231F20"/>
                    </w:rPr>
                    <w:t>pain diseases, neurodegenerative and metabolic ailments to inflammatory and cardiovascular diseases, including</w:t>
                  </w:r>
                  <w:r>
                    <w:rPr>
                      <w:color w:val="231F20"/>
                      <w:spacing w:val="15"/>
                    </w:rPr>
                    <w:t> </w:t>
                  </w:r>
                  <w:r>
                    <w:rPr>
                      <w:color w:val="231F20"/>
                    </w:rPr>
                    <w:t>modulated</w:t>
                  </w:r>
                </w:p>
              </w:txbxContent>
            </v:textbox>
            <v:fill opacity="26214f" type="solid"/>
          </v:shape>
        </w:pict>
      </w:r>
      <w:r>
        <w:rPr>
          <w:sz w:val="20"/>
        </w:rPr>
      </w:r>
    </w:p>
    <w:p>
      <w:pPr>
        <w:pStyle w:val="BodyText"/>
        <w:ind w:left="0"/>
        <w:rPr>
          <w:sz w:val="20"/>
        </w:rPr>
      </w:pPr>
    </w:p>
    <w:p>
      <w:pPr>
        <w:pStyle w:val="BodyText"/>
        <w:spacing w:before="7"/>
        <w:ind w:left="0"/>
        <w:rPr>
          <w:sz w:val="25"/>
        </w:rPr>
      </w:pPr>
      <w:r>
        <w:rPr/>
        <w:pict>
          <v:shape style="position:absolute;margin-left:301.135345pt;margin-top:18.418303pt;width:205.3pt;height:14.35pt;mso-position-horizontal-relative:page;mso-position-vertical-relative:paragraph;z-index:-904;mso-wrap-distance-left:0;mso-wrap-distance-right:0" type="#_x0000_t202" filled="true" fillcolor="#fde164" stroked="false">
            <v:textbox inset="0,0,0,0">
              <w:txbxContent>
                <w:p>
                  <w:pPr>
                    <w:spacing w:before="9"/>
                    <w:ind w:left="50" w:right="0" w:firstLine="0"/>
                    <w:jc w:val="left"/>
                    <w:rPr>
                      <w:rFonts w:ascii="Arial"/>
                      <w:sz w:val="24"/>
                    </w:rPr>
                  </w:pPr>
                  <w:bookmarkStart w:name="Electrical Stimulation of Vn" w:id="4"/>
                  <w:bookmarkEnd w:id="4"/>
                  <w:r>
                    <w:rPr/>
                  </w:r>
                  <w:r>
                    <w:rPr>
                      <w:rFonts w:ascii="Arial"/>
                      <w:color w:val="231F20"/>
                      <w:sz w:val="24"/>
                    </w:rPr>
                    <w:t>ELECTRICAL STIMULATION OF VN</w:t>
                  </w:r>
                </w:p>
              </w:txbxContent>
            </v:textbox>
            <v:fill opacity="26214f" type="solid"/>
            <w10:wrap type="topAndBottom"/>
          </v:shape>
        </w:pict>
      </w:r>
    </w:p>
    <w:p>
      <w:pPr>
        <w:pStyle w:val="BodyText"/>
        <w:ind w:left="0"/>
        <w:rPr>
          <w:sz w:val="20"/>
        </w:rPr>
      </w:pPr>
    </w:p>
    <w:p>
      <w:pPr>
        <w:pStyle w:val="BodyText"/>
        <w:ind w:left="0"/>
        <w:rPr>
          <w:sz w:val="13"/>
        </w:rPr>
      </w:pPr>
      <w:r>
        <w:rPr/>
        <w:pict>
          <v:shape style="position:absolute;margin-left:301.521454pt;margin-top:9.9997pt;width:251.05pt;height:46.55pt;mso-position-horizontal-relative:page;mso-position-vertical-relative:paragraph;z-index:-880;mso-wrap-distance-left:0;mso-wrap-distance-right:0" type="#_x0000_t202" filled="true" fillcolor="#fde164" stroked="false">
            <v:textbox inset="0,0,0,0">
              <w:txbxContent>
                <w:p>
                  <w:pPr>
                    <w:pStyle w:val="BodyText"/>
                    <w:spacing w:line="213" w:lineRule="auto" w:before="7"/>
                    <w:ind w:left="42" w:right="40"/>
                    <w:jc w:val="both"/>
                  </w:pPr>
                  <w:bookmarkStart w:name="Invasive VNS Versus Non-invasive VNS" w:id="5"/>
                  <w:bookmarkEnd w:id="5"/>
                  <w:r>
                    <w:rPr/>
                  </w:r>
                  <w:r>
                    <w:rPr>
                      <w:color w:val="231F20"/>
                    </w:rPr>
                    <w:t>The targeted stimulation of the afferent VN, i.e., the translation of artificial electrical impulses into natural action potentials traveling into the brain, relays basically on four methods considering invasive VNS, non-invasive VNS, non-invasive</w:t>
                  </w:r>
                </w:p>
              </w:txbxContent>
            </v:textbox>
            <v:fill opacity="26214f" type="solid"/>
            <w10:wrap type="topAndBottom"/>
          </v:shape>
        </w:pict>
      </w:r>
      <w:r>
        <w:rPr/>
        <w:pict>
          <v:shape style="position:absolute;margin-left:297.151459pt;margin-top:75.188698pt;width:255.4pt;height:149.65pt;mso-position-horizontal-relative:page;mso-position-vertical-relative:paragraph;z-index:-856;mso-wrap-distance-left:0;mso-wrap-distance-right:0" type="#_x0000_t202" filled="true" fillcolor="#fde164" stroked="false">
            <v:textbox inset="0,0,0,0">
              <w:txbxContent>
                <w:p>
                  <w:pPr>
                    <w:pStyle w:val="BodyText"/>
                    <w:spacing w:line="213" w:lineRule="auto" w:before="7"/>
                    <w:ind w:left="324" w:right="40" w:hanging="283"/>
                    <w:jc w:val="both"/>
                  </w:pPr>
                  <w:r>
                    <w:rPr>
                      <w:color w:val="231F20"/>
                    </w:rPr>
                    <w:t>(i)</w:t>
                  </w:r>
                  <w:r>
                    <w:rPr>
                      <w:color w:val="231F20"/>
                      <w:spacing w:val="12"/>
                    </w:rPr>
                    <w:t> </w:t>
                  </w:r>
                  <w:r>
                    <w:rPr>
                      <w:color w:val="231F20"/>
                    </w:rPr>
                    <w:t>An</w:t>
                  </w:r>
                  <w:r>
                    <w:rPr>
                      <w:color w:val="231F20"/>
                      <w:spacing w:val="-7"/>
                    </w:rPr>
                    <w:t> </w:t>
                  </w:r>
                  <w:r>
                    <w:rPr>
                      <w:color w:val="231F20"/>
                    </w:rPr>
                    <w:t>invasive</w:t>
                  </w:r>
                  <w:r>
                    <w:rPr>
                      <w:color w:val="231F20"/>
                      <w:spacing w:val="-8"/>
                    </w:rPr>
                    <w:t> </w:t>
                  </w:r>
                  <w:r>
                    <w:rPr>
                      <w:color w:val="231F20"/>
                    </w:rPr>
                    <w:t>stimulation</w:t>
                  </w:r>
                  <w:r>
                    <w:rPr>
                      <w:color w:val="231F20"/>
                      <w:spacing w:val="-8"/>
                    </w:rPr>
                    <w:t> </w:t>
                  </w:r>
                  <w:r>
                    <w:rPr>
                      <w:color w:val="231F20"/>
                    </w:rPr>
                    <w:t>of</w:t>
                  </w:r>
                  <w:r>
                    <w:rPr>
                      <w:color w:val="231F20"/>
                      <w:spacing w:val="-9"/>
                    </w:rPr>
                    <w:t> </w:t>
                  </w:r>
                  <w:r>
                    <w:rPr>
                      <w:color w:val="231F20"/>
                    </w:rPr>
                    <w:t>VN</w:t>
                  </w:r>
                  <w:r>
                    <w:rPr>
                      <w:color w:val="231F20"/>
                      <w:spacing w:val="-8"/>
                    </w:rPr>
                    <w:t> </w:t>
                  </w:r>
                  <w:r>
                    <w:rPr>
                      <w:color w:val="231F20"/>
                    </w:rPr>
                    <w:t>can</w:t>
                  </w:r>
                  <w:r>
                    <w:rPr>
                      <w:color w:val="231F20"/>
                      <w:spacing w:val="-8"/>
                    </w:rPr>
                    <w:t> </w:t>
                  </w:r>
                  <w:r>
                    <w:rPr>
                      <w:color w:val="231F20"/>
                    </w:rPr>
                    <w:t>be</w:t>
                  </w:r>
                  <w:r>
                    <w:rPr>
                      <w:color w:val="231F20"/>
                      <w:spacing w:val="-8"/>
                    </w:rPr>
                    <w:t> </w:t>
                  </w:r>
                  <w:r>
                    <w:rPr>
                      <w:color w:val="231F20"/>
                    </w:rPr>
                    <w:t>performed</w:t>
                  </w:r>
                  <w:r>
                    <w:rPr>
                      <w:color w:val="231F20"/>
                      <w:spacing w:val="-7"/>
                    </w:rPr>
                    <w:t> </w:t>
                  </w:r>
                  <w:r>
                    <w:rPr>
                      <w:color w:val="231F20"/>
                    </w:rPr>
                    <w:t>via</w:t>
                  </w:r>
                  <w:r>
                    <w:rPr>
                      <w:color w:val="231F20"/>
                      <w:spacing w:val="-8"/>
                    </w:rPr>
                    <w:t> </w:t>
                  </w:r>
                  <w:r>
                    <w:rPr>
                      <w:color w:val="231F20"/>
                    </w:rPr>
                    <w:t>implanted cuff electrodes at the cervical level wrapped typically around the left cervical branch of VN (</w:t>
                  </w:r>
                  <w:hyperlink w:history="true" w:anchor="_bookmark64">
                    <w:r>
                      <w:rPr>
                        <w:color w:val="6D6E71"/>
                      </w:rPr>
                      <w:t>Mertens et al.</w:t>
                    </w:r>
                  </w:hyperlink>
                  <w:r>
                    <w:rPr>
                      <w:color w:val="6D6E71"/>
                    </w:rPr>
                    <w:t>, </w:t>
                  </w:r>
                  <w:hyperlink w:history="true" w:anchor="_bookmark64">
                    <w:r>
                      <w:rPr>
                        <w:color w:val="6D6E71"/>
                      </w:rPr>
                      <w:t>2018</w:t>
                    </w:r>
                  </w:hyperlink>
                  <w:r>
                    <w:rPr>
                      <w:color w:val="231F20"/>
                    </w:rPr>
                    <w:t>). The invasive VNS typically uses a bipolar cuff electrode (e.g., </w:t>
                  </w:r>
                  <w:r>
                    <w:rPr>
                      <w:color w:val="231F20"/>
                      <w:spacing w:val="-4"/>
                    </w:rPr>
                    <w:t>VNS </w:t>
                  </w:r>
                  <w:r>
                    <w:rPr>
                      <w:color w:val="231F20"/>
                    </w:rPr>
                    <w:t>Therapy,</w:t>
                  </w:r>
                  <w:r>
                    <w:rPr>
                      <w:color w:val="231F20"/>
                      <w:spacing w:val="-9"/>
                    </w:rPr>
                    <w:t> </w:t>
                  </w:r>
                  <w:r>
                    <w:rPr>
                      <w:color w:val="231F20"/>
                    </w:rPr>
                    <w:t>Cyberonics)</w:t>
                  </w:r>
                  <w:r>
                    <w:rPr>
                      <w:color w:val="231F20"/>
                      <w:spacing w:val="-8"/>
                    </w:rPr>
                    <w:t> </w:t>
                  </w:r>
                  <w:r>
                    <w:rPr>
                      <w:color w:val="231F20"/>
                    </w:rPr>
                    <w:t>with</w:t>
                  </w:r>
                  <w:r>
                    <w:rPr>
                      <w:color w:val="231F20"/>
                      <w:spacing w:val="-9"/>
                    </w:rPr>
                    <w:t> </w:t>
                  </w:r>
                  <w:r>
                    <w:rPr>
                      <w:color w:val="231F20"/>
                    </w:rPr>
                    <w:t>a</w:t>
                  </w:r>
                  <w:r>
                    <w:rPr>
                      <w:color w:val="231F20"/>
                      <w:spacing w:val="-8"/>
                    </w:rPr>
                    <w:t> </w:t>
                  </w:r>
                  <w:r>
                    <w:rPr>
                      <w:color w:val="231F20"/>
                    </w:rPr>
                    <w:t>bipolar</w:t>
                  </w:r>
                  <w:r>
                    <w:rPr>
                      <w:color w:val="231F20"/>
                      <w:spacing w:val="-8"/>
                    </w:rPr>
                    <w:t> </w:t>
                  </w:r>
                  <w:r>
                    <w:rPr>
                      <w:color w:val="231F20"/>
                    </w:rPr>
                    <w:t>stimulation</w:t>
                  </w:r>
                  <w:r>
                    <w:rPr>
                      <w:color w:val="231F20"/>
                      <w:spacing w:val="-9"/>
                    </w:rPr>
                    <w:t> </w:t>
                  </w:r>
                  <w:r>
                    <w:rPr>
                      <w:color w:val="231F20"/>
                    </w:rPr>
                    <w:t>pattern,</w:t>
                  </w:r>
                  <w:r>
                    <w:rPr>
                      <w:color w:val="231F20"/>
                      <w:spacing w:val="-8"/>
                    </w:rPr>
                    <w:t> </w:t>
                  </w:r>
                  <w:r>
                    <w:rPr>
                      <w:color w:val="231F20"/>
                      <w:spacing w:val="-3"/>
                    </w:rPr>
                    <w:t>either </w:t>
                  </w:r>
                  <w:r>
                    <w:rPr>
                      <w:color w:val="231F20"/>
                    </w:rPr>
                    <w:t>with a fixed non-adaptive stimulation (e.g., 30 s ON and 5</w:t>
                  </w:r>
                  <w:r>
                    <w:rPr>
                      <w:color w:val="231F20"/>
                      <w:spacing w:val="-28"/>
                    </w:rPr>
                    <w:t> </w:t>
                  </w:r>
                  <w:r>
                    <w:rPr>
                      <w:color w:val="231F20"/>
                    </w:rPr>
                    <w:t>min OFF) or on-demand adaptive stimulation triggered by </w:t>
                  </w:r>
                  <w:r>
                    <w:rPr>
                      <w:color w:val="231F20"/>
                      <w:spacing w:val="-4"/>
                    </w:rPr>
                    <w:t>the </w:t>
                  </w:r>
                  <w:r>
                    <w:rPr>
                      <w:color w:val="231F20"/>
                    </w:rPr>
                    <w:t>patient. The method is approved for epilepsy and depression. Implantation risks and high costs are present, irreversibility  of the electrode implant, as well as infection-associated morbidity. Unfortunately, implanted electrodes recruit </w:t>
                  </w:r>
                  <w:r>
                    <w:rPr>
                      <w:color w:val="231F20"/>
                      <w:spacing w:val="-4"/>
                    </w:rPr>
                    <w:t>not </w:t>
                  </w:r>
                  <w:r>
                    <w:rPr>
                      <w:color w:val="231F20"/>
                    </w:rPr>
                    <w:t>only the targeted afferent fibers but also the (visceral) efferent fibers</w:t>
                  </w:r>
                  <w:r>
                    <w:rPr>
                      <w:color w:val="231F20"/>
                      <w:spacing w:val="7"/>
                    </w:rPr>
                    <w:t> </w:t>
                  </w:r>
                  <w:r>
                    <w:rPr>
                      <w:color w:val="231F20"/>
                    </w:rPr>
                    <w:t>of</w:t>
                  </w:r>
                  <w:r>
                    <w:rPr>
                      <w:color w:val="231F20"/>
                      <w:spacing w:val="7"/>
                    </w:rPr>
                    <w:t> </w:t>
                  </w:r>
                  <w:r>
                    <w:rPr>
                      <w:color w:val="231F20"/>
                    </w:rPr>
                    <w:t>the</w:t>
                  </w:r>
                  <w:r>
                    <w:rPr>
                      <w:color w:val="231F20"/>
                      <w:spacing w:val="8"/>
                    </w:rPr>
                    <w:t> </w:t>
                  </w:r>
                  <w:r>
                    <w:rPr>
                      <w:color w:val="231F20"/>
                    </w:rPr>
                    <w:t>mixed</w:t>
                  </w:r>
                  <w:r>
                    <w:rPr>
                      <w:color w:val="231F20"/>
                      <w:spacing w:val="7"/>
                    </w:rPr>
                    <w:t> </w:t>
                  </w:r>
                  <w:r>
                    <w:rPr>
                      <w:color w:val="231F20"/>
                    </w:rPr>
                    <w:t>cervical</w:t>
                  </w:r>
                  <w:r>
                    <w:rPr>
                      <w:color w:val="231F20"/>
                      <w:spacing w:val="8"/>
                    </w:rPr>
                    <w:t> </w:t>
                  </w:r>
                  <w:r>
                    <w:rPr>
                      <w:color w:val="231F20"/>
                    </w:rPr>
                    <w:t>VN</w:t>
                  </w:r>
                  <w:r>
                    <w:rPr>
                      <w:color w:val="231F20"/>
                      <w:spacing w:val="7"/>
                    </w:rPr>
                    <w:t> </w:t>
                  </w:r>
                  <w:r>
                    <w:rPr>
                      <w:color w:val="231F20"/>
                    </w:rPr>
                    <w:t>branch</w:t>
                  </w:r>
                  <w:r>
                    <w:rPr>
                      <w:color w:val="231F20"/>
                      <w:spacing w:val="8"/>
                    </w:rPr>
                    <w:t> </w:t>
                  </w:r>
                  <w:r>
                    <w:rPr>
                      <w:color w:val="231F20"/>
                    </w:rPr>
                    <w:t>(</w:t>
                  </w:r>
                  <w:hyperlink w:history="true" w:anchor="_bookmark41">
                    <w:r>
                      <w:rPr>
                        <w:color w:val="6D6E71"/>
                      </w:rPr>
                      <w:t>Howland</w:t>
                    </w:r>
                  </w:hyperlink>
                  <w:r>
                    <w:rPr>
                      <w:color w:val="6D6E71"/>
                    </w:rPr>
                    <w:t>,</w:t>
                  </w:r>
                  <w:r>
                    <w:rPr>
                      <w:color w:val="6D6E71"/>
                      <w:spacing w:val="7"/>
                    </w:rPr>
                    <w:t> </w:t>
                  </w:r>
                  <w:hyperlink w:history="true" w:anchor="_bookmark41">
                    <w:r>
                      <w:rPr>
                        <w:color w:val="6D6E71"/>
                      </w:rPr>
                      <w:t>2014</w:t>
                    </w:r>
                  </w:hyperlink>
                  <w:r>
                    <w:rPr>
                      <w:color w:val="231F20"/>
                    </w:rPr>
                    <w:t>).</w:t>
                  </w:r>
                </w:p>
              </w:txbxContent>
            </v:textbox>
            <v:fill opacity="26214f" type="solid"/>
            <w10:wrap type="topAndBottom"/>
          </v:shape>
        </w:pict>
      </w:r>
    </w:p>
    <w:p>
      <w:pPr>
        <w:pStyle w:val="BodyText"/>
        <w:spacing w:before="10"/>
        <w:ind w:left="0"/>
        <w:rPr>
          <w:sz w:val="24"/>
        </w:rPr>
      </w:pPr>
    </w:p>
    <w:p>
      <w:pPr>
        <w:spacing w:after="0"/>
        <w:rPr>
          <w:sz w:val="24"/>
        </w:rPr>
        <w:sectPr>
          <w:type w:val="continuous"/>
          <w:pgSz w:w="11910" w:h="15600"/>
          <w:pgMar w:top="520" w:bottom="780" w:left="740" w:right="740"/>
          <w:cols w:num="2" w:equalWidth="0">
            <w:col w:w="5095" w:space="79"/>
            <w:col w:w="5256"/>
          </w:cols>
        </w:sectPr>
      </w:pPr>
    </w:p>
    <w:p>
      <w:pPr>
        <w:pStyle w:val="BodyText"/>
        <w:ind w:left="0"/>
        <w:rPr>
          <w:sz w:val="20"/>
        </w:rPr>
      </w:pPr>
    </w:p>
    <w:p>
      <w:pPr>
        <w:pStyle w:val="BodyText"/>
        <w:spacing w:before="6"/>
        <w:ind w:left="0"/>
        <w:rPr>
          <w:sz w:val="10"/>
        </w:rPr>
      </w:pPr>
    </w:p>
    <w:p>
      <w:pPr>
        <w:pStyle w:val="BodyText"/>
        <w:spacing w:line="20" w:lineRule="exact"/>
        <w:ind w:left="156"/>
        <w:rPr>
          <w:sz w:val="2"/>
        </w:rPr>
      </w:pPr>
      <w:r>
        <w:rPr>
          <w:sz w:val="2"/>
        </w:rPr>
        <w:pict>
          <v:group style="width:505.45pt;height:.25pt;mso-position-horizontal-relative:char;mso-position-vertical-relative:line" coordorigin="0,0" coordsize="10109,5">
            <v:line style="position:absolute" from="0,2" to="10108,2" stroked="true" strokeweight=".249pt" strokecolor="#6d6e71">
              <v:stroke dashstyle="solid"/>
            </v:line>
          </v:group>
        </w:pict>
      </w:r>
      <w:r>
        <w:rPr>
          <w:sz w:val="2"/>
        </w:rPr>
      </w:r>
    </w:p>
    <w:p>
      <w:pPr>
        <w:tabs>
          <w:tab w:pos="5174" w:val="left" w:leader="none"/>
          <w:tab w:pos="8182" w:val="left" w:leader="none"/>
        </w:tabs>
        <w:spacing w:before="78"/>
        <w:ind w:left="159" w:right="0" w:firstLine="0"/>
        <w:jc w:val="left"/>
        <w:rPr>
          <w:rFonts w:ascii="Arial"/>
          <w:sz w:val="14"/>
        </w:rPr>
      </w:pPr>
      <w:r>
        <w:rPr/>
        <w:pict>
          <v:shape style="position:absolute;margin-left:43.518623pt;margin-top:3.696917pt;width:36pt;height:8.3pt;mso-position-horizontal-relative:page;mso-position-vertical-relative:paragraph;z-index:-42232" coordorigin="870,74" coordsize="720,166" path="m1561,74l900,74,878,111,870,157,878,202,900,239,1561,239,1583,202,1590,157,1583,111,1561,74xe" filled="true" fillcolor="#fde164" stroked="false">
            <v:path arrowok="t"/>
            <v:fill opacity="26214f" type="solid"/>
            <w10:wrap type="none"/>
          </v:shape>
        </w:pict>
      </w:r>
      <w:hyperlink r:id="rId31">
        <w:r>
          <w:rPr>
            <w:rFonts w:ascii="Arial"/>
            <w:color w:val="6D6E71"/>
            <w:sz w:val="14"/>
          </w:rPr>
          <w:t>Frontiers</w:t>
        </w:r>
        <w:r>
          <w:rPr>
            <w:rFonts w:ascii="Arial"/>
            <w:color w:val="6D6E71"/>
            <w:spacing w:val="-19"/>
            <w:sz w:val="14"/>
          </w:rPr>
          <w:t> </w:t>
        </w:r>
        <w:r>
          <w:rPr>
            <w:rFonts w:ascii="Arial"/>
            <w:color w:val="6D6E71"/>
            <w:sz w:val="14"/>
          </w:rPr>
          <w:t>in</w:t>
        </w:r>
        <w:r>
          <w:rPr>
            <w:rFonts w:ascii="Arial"/>
            <w:color w:val="6D6E71"/>
            <w:spacing w:val="-18"/>
            <w:sz w:val="14"/>
          </w:rPr>
          <w:t> </w:t>
        </w:r>
        <w:r>
          <w:rPr>
            <w:rFonts w:ascii="Arial"/>
            <w:color w:val="6D6E71"/>
            <w:sz w:val="14"/>
          </w:rPr>
          <w:t>Neuroscience</w:t>
        </w:r>
        <w:r>
          <w:rPr>
            <w:rFonts w:ascii="Arial"/>
            <w:color w:val="6D6E71"/>
            <w:spacing w:val="-18"/>
            <w:sz w:val="14"/>
          </w:rPr>
          <w:t> </w:t>
        </w:r>
      </w:hyperlink>
      <w:r>
        <w:rPr>
          <w:rFonts w:ascii="Arial"/>
          <w:color w:val="6D6E71"/>
          <w:sz w:val="14"/>
        </w:rPr>
        <w:t>|</w:t>
      </w:r>
      <w:r>
        <w:rPr>
          <w:rFonts w:ascii="Arial"/>
          <w:color w:val="6D6E71"/>
          <w:spacing w:val="-18"/>
          <w:sz w:val="14"/>
        </w:rPr>
        <w:t> </w:t>
      </w:r>
      <w:hyperlink r:id="rId32">
        <w:r>
          <w:rPr>
            <w:rFonts w:ascii="Arial"/>
            <w:color w:val="6D6E71"/>
            <w:sz w:val="14"/>
          </w:rPr>
          <w:t>www.frontiersin.org</w:t>
        </w:r>
      </w:hyperlink>
      <w:r>
        <w:rPr>
          <w:rFonts w:ascii="Arial"/>
          <w:color w:val="6D6E71"/>
          <w:sz w:val="14"/>
        </w:rPr>
        <w:tab/>
        <w:t>2</w:t>
        <w:tab/>
      </w:r>
      <w:hyperlink r:id="rId33">
        <w:r>
          <w:rPr>
            <w:rFonts w:ascii="Arial"/>
            <w:color w:val="6D6E71"/>
            <w:sz w:val="14"/>
          </w:rPr>
          <w:t>July</w:t>
        </w:r>
        <w:r>
          <w:rPr>
            <w:rFonts w:ascii="Arial"/>
            <w:color w:val="6D6E71"/>
            <w:spacing w:val="-7"/>
            <w:sz w:val="14"/>
          </w:rPr>
          <w:t> </w:t>
        </w:r>
        <w:r>
          <w:rPr>
            <w:rFonts w:ascii="Arial"/>
            <w:color w:val="6D6E71"/>
            <w:sz w:val="14"/>
          </w:rPr>
          <w:t>2019</w:t>
        </w:r>
        <w:r>
          <w:rPr>
            <w:rFonts w:ascii="Arial"/>
            <w:color w:val="6D6E71"/>
            <w:spacing w:val="-7"/>
            <w:sz w:val="14"/>
          </w:rPr>
          <w:t> </w:t>
        </w:r>
        <w:r>
          <w:rPr>
            <w:rFonts w:ascii="Arial"/>
            <w:color w:val="6D6E71"/>
            <w:sz w:val="14"/>
          </w:rPr>
          <w:t>|</w:t>
        </w:r>
        <w:r>
          <w:rPr>
            <w:rFonts w:ascii="Arial"/>
            <w:color w:val="6D6E71"/>
            <w:spacing w:val="-6"/>
            <w:sz w:val="14"/>
          </w:rPr>
          <w:t> </w:t>
        </w:r>
        <w:r>
          <w:rPr>
            <w:rFonts w:ascii="Arial"/>
            <w:color w:val="6D6E71"/>
            <w:sz w:val="14"/>
          </w:rPr>
          <w:t>Volume</w:t>
        </w:r>
        <w:r>
          <w:rPr>
            <w:rFonts w:ascii="Arial"/>
            <w:color w:val="6D6E71"/>
            <w:spacing w:val="-7"/>
            <w:sz w:val="14"/>
          </w:rPr>
          <w:t> </w:t>
        </w:r>
        <w:r>
          <w:rPr>
            <w:rFonts w:ascii="Arial"/>
            <w:color w:val="6D6E71"/>
            <w:sz w:val="14"/>
          </w:rPr>
          <w:t>13</w:t>
        </w:r>
        <w:r>
          <w:rPr>
            <w:rFonts w:ascii="Arial"/>
            <w:color w:val="6D6E71"/>
            <w:spacing w:val="-6"/>
            <w:sz w:val="14"/>
          </w:rPr>
          <w:t> </w:t>
        </w:r>
        <w:r>
          <w:rPr>
            <w:rFonts w:ascii="Arial"/>
            <w:color w:val="6D6E71"/>
            <w:sz w:val="14"/>
          </w:rPr>
          <w:t>|</w:t>
        </w:r>
        <w:r>
          <w:rPr>
            <w:rFonts w:ascii="Arial"/>
            <w:color w:val="6D6E71"/>
            <w:spacing w:val="-7"/>
            <w:sz w:val="14"/>
          </w:rPr>
          <w:t> </w:t>
        </w:r>
        <w:r>
          <w:rPr>
            <w:rFonts w:ascii="Arial"/>
            <w:color w:val="6D6E71"/>
            <w:sz w:val="14"/>
          </w:rPr>
          <w:t>Article</w:t>
        </w:r>
        <w:r>
          <w:rPr>
            <w:rFonts w:ascii="Arial"/>
            <w:color w:val="6D6E71"/>
            <w:spacing w:val="-6"/>
            <w:sz w:val="14"/>
          </w:rPr>
          <w:t> </w:t>
        </w:r>
        <w:r>
          <w:rPr>
            <w:rFonts w:ascii="Arial"/>
            <w:color w:val="6D6E71"/>
            <w:sz w:val="14"/>
          </w:rPr>
          <w:t>772</w:t>
        </w:r>
      </w:hyperlink>
    </w:p>
    <w:p>
      <w:pPr>
        <w:spacing w:after="0"/>
        <w:jc w:val="left"/>
        <w:rPr>
          <w:rFonts w:ascii="Arial"/>
          <w:sz w:val="14"/>
        </w:rPr>
        <w:sectPr>
          <w:type w:val="continuous"/>
          <w:pgSz w:w="11910" w:h="15600"/>
          <w:pgMar w:top="520" w:bottom="780" w:left="740" w:right="740"/>
        </w:sectPr>
      </w:pPr>
    </w:p>
    <w:p>
      <w:pPr>
        <w:pStyle w:val="BodyText"/>
        <w:ind w:left="0"/>
        <w:rPr>
          <w:rFonts w:ascii="Arial"/>
          <w:sz w:val="20"/>
        </w:rPr>
      </w:pPr>
    </w:p>
    <w:p>
      <w:pPr>
        <w:pStyle w:val="BodyText"/>
        <w:spacing w:before="7"/>
        <w:ind w:left="0"/>
        <w:rPr>
          <w:rFonts w:ascii="Arial"/>
          <w:sz w:val="14"/>
        </w:rPr>
      </w:pPr>
    </w:p>
    <w:p>
      <w:pPr>
        <w:pStyle w:val="BodyText"/>
        <w:rPr>
          <w:rFonts w:ascii="Arial"/>
          <w:sz w:val="20"/>
        </w:rPr>
      </w:pPr>
      <w:r>
        <w:rPr>
          <w:rFonts w:ascii="Arial"/>
          <w:sz w:val="20"/>
        </w:rPr>
        <w:pict>
          <v:group style="width:505.45pt;height:311.6pt;mso-position-horizontal-relative:char;mso-position-vertical-relative:line" coordorigin="0,0" coordsize="10109,6232">
            <v:shape style="position:absolute;left:1374;top:124;width:7312;height:5007" type="#_x0000_t75" stroked="false">
              <v:imagedata r:id="rId35" o:title=""/>
            </v:shape>
            <v:shape style="position:absolute;left:1436;top:203;width:117;height:117" type="#_x0000_t75" stroked="false">
              <v:imagedata r:id="rId36" o:title=""/>
            </v:shape>
            <v:shape style="position:absolute;left:2;top:2;width:10104;height:6227" type="#_x0000_t202" filled="false" stroked="true" strokeweight=".249pt" strokecolor="#000000">
              <v:textbox inset="0,0,0,0">
                <w:txbxContent>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10"/>
                      <w:rPr>
                        <w:rFonts w:ascii="Arial"/>
                        <w:sz w:val="21"/>
                      </w:rPr>
                    </w:pPr>
                  </w:p>
                  <w:p>
                    <w:pPr>
                      <w:spacing w:line="283" w:lineRule="auto" w:before="0"/>
                      <w:ind w:left="119" w:right="200" w:firstLine="0"/>
                      <w:jc w:val="left"/>
                      <w:rPr>
                        <w:rFonts w:ascii="Arial"/>
                        <w:sz w:val="14"/>
                      </w:rPr>
                    </w:pPr>
                    <w:bookmarkStart w:name="_bookmark1" w:id="6"/>
                    <w:bookmarkEnd w:id="6"/>
                    <w:r>
                      <w:rPr/>
                    </w:r>
                    <w:r>
                      <w:rPr>
                        <w:rFonts w:ascii="Arial"/>
                        <w:color w:val="231F20"/>
                        <w:sz w:val="14"/>
                      </w:rPr>
                      <w:t>FIGURE</w:t>
                    </w:r>
                    <w:r>
                      <w:rPr>
                        <w:rFonts w:ascii="Arial"/>
                        <w:color w:val="231F20"/>
                        <w:spacing w:val="-13"/>
                        <w:sz w:val="14"/>
                      </w:rPr>
                      <w:t> </w:t>
                    </w:r>
                    <w:r>
                      <w:rPr>
                        <w:rFonts w:ascii="Arial"/>
                        <w:color w:val="231F20"/>
                        <w:sz w:val="14"/>
                      </w:rPr>
                      <w:t>1</w:t>
                    </w:r>
                    <w:r>
                      <w:rPr>
                        <w:rFonts w:ascii="Arial"/>
                        <w:color w:val="231F20"/>
                        <w:spacing w:val="-13"/>
                        <w:sz w:val="14"/>
                      </w:rPr>
                      <w:t> </w:t>
                    </w:r>
                    <w:r>
                      <w:rPr>
                        <w:rFonts w:ascii="Arial"/>
                        <w:color w:val="231F20"/>
                        <w:sz w:val="14"/>
                      </w:rPr>
                      <w:t>|</w:t>
                    </w:r>
                    <w:r>
                      <w:rPr>
                        <w:rFonts w:ascii="Arial"/>
                        <w:color w:val="231F20"/>
                        <w:spacing w:val="-13"/>
                        <w:sz w:val="14"/>
                      </w:rPr>
                      <w:t> </w:t>
                    </w:r>
                    <w:r>
                      <w:rPr>
                        <w:rFonts w:ascii="Arial"/>
                        <w:color w:val="231F20"/>
                        <w:sz w:val="14"/>
                      </w:rPr>
                      <w:t>Natural</w:t>
                    </w:r>
                    <w:r>
                      <w:rPr>
                        <w:rFonts w:ascii="Arial"/>
                        <w:color w:val="231F20"/>
                        <w:spacing w:val="-13"/>
                        <w:sz w:val="14"/>
                      </w:rPr>
                      <w:t> </w:t>
                    </w:r>
                    <w:r>
                      <w:rPr>
                        <w:rFonts w:ascii="Arial"/>
                        <w:color w:val="231F20"/>
                        <w:sz w:val="14"/>
                      </w:rPr>
                      <w:t>sensory</w:t>
                    </w:r>
                    <w:r>
                      <w:rPr>
                        <w:rFonts w:ascii="Arial"/>
                        <w:color w:val="231F20"/>
                        <w:spacing w:val="-13"/>
                        <w:sz w:val="14"/>
                      </w:rPr>
                      <w:t> </w:t>
                    </w:r>
                    <w:r>
                      <w:rPr>
                        <w:rFonts w:ascii="Arial"/>
                        <w:color w:val="231F20"/>
                        <w:sz w:val="14"/>
                      </w:rPr>
                      <w:t>innervation</w:t>
                    </w:r>
                    <w:r>
                      <w:rPr>
                        <w:rFonts w:ascii="Arial"/>
                        <w:color w:val="231F20"/>
                        <w:spacing w:val="-13"/>
                        <w:sz w:val="14"/>
                      </w:rPr>
                      <w:t> </w:t>
                    </w:r>
                    <w:r>
                      <w:rPr>
                        <w:rFonts w:ascii="Arial"/>
                        <w:color w:val="231F20"/>
                        <w:sz w:val="14"/>
                      </w:rPr>
                      <w:t>of</w:t>
                    </w:r>
                    <w:r>
                      <w:rPr>
                        <w:rFonts w:ascii="Arial"/>
                        <w:color w:val="231F20"/>
                        <w:spacing w:val="-13"/>
                        <w:sz w:val="14"/>
                      </w:rPr>
                      <w:t> </w:t>
                    </w:r>
                    <w:r>
                      <w:rPr>
                        <w:rFonts w:ascii="Arial"/>
                        <w:color w:val="231F20"/>
                        <w:sz w:val="14"/>
                      </w:rPr>
                      <w:t>the</w:t>
                    </w:r>
                    <w:r>
                      <w:rPr>
                        <w:rFonts w:ascii="Arial"/>
                        <w:color w:val="231F20"/>
                        <w:spacing w:val="-13"/>
                        <w:sz w:val="14"/>
                      </w:rPr>
                      <w:t> </w:t>
                    </w:r>
                    <w:r>
                      <w:rPr>
                        <w:rFonts w:ascii="Arial"/>
                        <w:color w:val="231F20"/>
                        <w:sz w:val="14"/>
                      </w:rPr>
                      <w:t>auricle</w:t>
                    </w:r>
                    <w:r>
                      <w:rPr>
                        <w:rFonts w:ascii="Arial"/>
                        <w:color w:val="231F20"/>
                        <w:spacing w:val="-13"/>
                        <w:sz w:val="14"/>
                      </w:rPr>
                      <w:t> </w:t>
                    </w:r>
                    <w:r>
                      <w:rPr>
                        <w:rFonts w:ascii="Arial"/>
                        <w:color w:val="231F20"/>
                        <w:sz w:val="14"/>
                      </w:rPr>
                      <w:t>versus</w:t>
                    </w:r>
                    <w:r>
                      <w:rPr>
                        <w:rFonts w:ascii="Arial"/>
                        <w:color w:val="231F20"/>
                        <w:spacing w:val="-13"/>
                        <w:sz w:val="14"/>
                      </w:rPr>
                      <w:t> </w:t>
                    </w:r>
                    <w:r>
                      <w:rPr>
                        <w:rFonts w:ascii="Arial"/>
                        <w:color w:val="231F20"/>
                        <w:sz w:val="14"/>
                      </w:rPr>
                      <w:t>its</w:t>
                    </w:r>
                    <w:r>
                      <w:rPr>
                        <w:rFonts w:ascii="Arial"/>
                        <w:color w:val="231F20"/>
                        <w:spacing w:val="-13"/>
                        <w:sz w:val="14"/>
                      </w:rPr>
                      <w:t> </w:t>
                    </w:r>
                    <w:r>
                      <w:rPr>
                        <w:rFonts w:ascii="Arial"/>
                        <w:color w:val="231F20"/>
                        <w:sz w:val="14"/>
                      </w:rPr>
                      <w:t>artificial</w:t>
                    </w:r>
                    <w:r>
                      <w:rPr>
                        <w:rFonts w:ascii="Arial"/>
                        <w:color w:val="231F20"/>
                        <w:spacing w:val="-13"/>
                        <w:sz w:val="14"/>
                      </w:rPr>
                      <w:t> </w:t>
                    </w:r>
                    <w:r>
                      <w:rPr>
                        <w:rFonts w:ascii="Arial"/>
                        <w:color w:val="231F20"/>
                        <w:sz w:val="14"/>
                      </w:rPr>
                      <w:t>stimulation.</w:t>
                    </w:r>
                    <w:r>
                      <w:rPr>
                        <w:rFonts w:ascii="Arial"/>
                        <w:color w:val="231F20"/>
                        <w:spacing w:val="-13"/>
                        <w:sz w:val="14"/>
                      </w:rPr>
                      <w:t> </w:t>
                    </w:r>
                    <w:r>
                      <w:rPr>
                        <w:rFonts w:ascii="Arial"/>
                        <w:color w:val="231F20"/>
                        <w:sz w:val="14"/>
                      </w:rPr>
                      <w:t>(A)</w:t>
                    </w:r>
                    <w:r>
                      <w:rPr>
                        <w:rFonts w:ascii="Arial"/>
                        <w:color w:val="231F20"/>
                        <w:spacing w:val="-13"/>
                        <w:sz w:val="14"/>
                      </w:rPr>
                      <w:t> </w:t>
                    </w:r>
                    <w:r>
                      <w:rPr>
                        <w:rFonts w:ascii="Arial"/>
                        <w:color w:val="231F20"/>
                        <w:sz w:val="14"/>
                      </w:rPr>
                      <w:t>The</w:t>
                    </w:r>
                    <w:r>
                      <w:rPr>
                        <w:rFonts w:ascii="Arial"/>
                        <w:color w:val="231F20"/>
                        <w:spacing w:val="-13"/>
                        <w:sz w:val="14"/>
                      </w:rPr>
                      <w:t> </w:t>
                    </w:r>
                    <w:r>
                      <w:rPr>
                        <w:rFonts w:ascii="Arial"/>
                        <w:color w:val="231F20"/>
                        <w:sz w:val="14"/>
                      </w:rPr>
                      <w:t>vagus</w:t>
                    </w:r>
                    <w:r>
                      <w:rPr>
                        <w:rFonts w:ascii="Arial"/>
                        <w:color w:val="231F20"/>
                        <w:spacing w:val="-13"/>
                        <w:sz w:val="14"/>
                      </w:rPr>
                      <w:t> </w:t>
                    </w:r>
                    <w:r>
                      <w:rPr>
                        <w:rFonts w:ascii="Arial"/>
                        <w:color w:val="231F20"/>
                        <w:sz w:val="14"/>
                      </w:rPr>
                      <w:t>nerve</w:t>
                    </w:r>
                    <w:r>
                      <w:rPr>
                        <w:rFonts w:ascii="Arial"/>
                        <w:color w:val="231F20"/>
                        <w:spacing w:val="-13"/>
                        <w:sz w:val="14"/>
                      </w:rPr>
                      <w:t> </w:t>
                    </w:r>
                    <w:r>
                      <w:rPr>
                        <w:rFonts w:ascii="Arial"/>
                        <w:color w:val="231F20"/>
                        <w:sz w:val="14"/>
                      </w:rPr>
                      <w:t>(VN)</w:t>
                    </w:r>
                    <w:r>
                      <w:rPr>
                        <w:rFonts w:ascii="Arial"/>
                        <w:color w:val="231F20"/>
                        <w:spacing w:val="-13"/>
                        <w:sz w:val="14"/>
                      </w:rPr>
                      <w:t> </w:t>
                    </w:r>
                    <w:r>
                      <w:rPr>
                        <w:rFonts w:ascii="Arial"/>
                        <w:color w:val="231F20"/>
                        <w:sz w:val="14"/>
                      </w:rPr>
                      <w:t>connects</w:t>
                    </w:r>
                    <w:r>
                      <w:rPr>
                        <w:rFonts w:ascii="Arial"/>
                        <w:color w:val="231F20"/>
                        <w:spacing w:val="-13"/>
                        <w:sz w:val="14"/>
                      </w:rPr>
                      <w:t> </w:t>
                    </w:r>
                    <w:r>
                      <w:rPr>
                        <w:rFonts w:ascii="Arial"/>
                        <w:color w:val="231F20"/>
                        <w:sz w:val="14"/>
                      </w:rPr>
                      <w:t>the</w:t>
                    </w:r>
                    <w:r>
                      <w:rPr>
                        <w:rFonts w:ascii="Arial"/>
                        <w:color w:val="231F20"/>
                        <w:spacing w:val="-13"/>
                        <w:sz w:val="14"/>
                      </w:rPr>
                      <w:t> </w:t>
                    </w:r>
                    <w:r>
                      <w:rPr>
                        <w:rFonts w:ascii="Arial"/>
                        <w:color w:val="231F20"/>
                        <w:sz w:val="14"/>
                      </w:rPr>
                      <w:t>brain</w:t>
                    </w:r>
                    <w:r>
                      <w:rPr>
                        <w:rFonts w:ascii="Arial"/>
                        <w:color w:val="231F20"/>
                        <w:spacing w:val="-13"/>
                        <w:sz w:val="14"/>
                      </w:rPr>
                      <w:t> </w:t>
                    </w:r>
                    <w:r>
                      <w:rPr>
                        <w:rFonts w:ascii="Arial"/>
                        <w:color w:val="231F20"/>
                        <w:sz w:val="14"/>
                      </w:rPr>
                      <w:t>with</w:t>
                    </w:r>
                    <w:r>
                      <w:rPr>
                        <w:rFonts w:ascii="Arial"/>
                        <w:color w:val="231F20"/>
                        <w:spacing w:val="-13"/>
                        <w:sz w:val="14"/>
                      </w:rPr>
                      <w:t> </w:t>
                    </w:r>
                    <w:r>
                      <w:rPr>
                        <w:rFonts w:ascii="Arial"/>
                        <w:color w:val="231F20"/>
                        <w:sz w:val="14"/>
                      </w:rPr>
                      <w:t>most</w:t>
                    </w:r>
                    <w:r>
                      <w:rPr>
                        <w:rFonts w:ascii="Arial"/>
                        <w:color w:val="231F20"/>
                        <w:spacing w:val="-13"/>
                        <w:sz w:val="14"/>
                      </w:rPr>
                      <w:t> </w:t>
                    </w:r>
                    <w:r>
                      <w:rPr>
                        <w:rFonts w:ascii="Arial"/>
                        <w:color w:val="231F20"/>
                        <w:sz w:val="14"/>
                      </w:rPr>
                      <w:t>of</w:t>
                    </w:r>
                    <w:r>
                      <w:rPr>
                        <w:rFonts w:ascii="Arial"/>
                        <w:color w:val="231F20"/>
                        <w:spacing w:val="-13"/>
                        <w:sz w:val="14"/>
                      </w:rPr>
                      <w:t> </w:t>
                    </w:r>
                    <w:r>
                      <w:rPr>
                        <w:rFonts w:ascii="Arial"/>
                        <w:color w:val="231F20"/>
                        <w:sz w:val="14"/>
                      </w:rPr>
                      <w:t>the</w:t>
                    </w:r>
                    <w:r>
                      <w:rPr>
                        <w:rFonts w:ascii="Arial"/>
                        <w:color w:val="231F20"/>
                        <w:spacing w:val="-13"/>
                        <w:sz w:val="14"/>
                      </w:rPr>
                      <w:t> </w:t>
                    </w:r>
                    <w:r>
                      <w:rPr>
                        <w:rFonts w:ascii="Arial"/>
                        <w:color w:val="231F20"/>
                        <w:sz w:val="14"/>
                      </w:rPr>
                      <w:t>organs</w:t>
                    </w:r>
                    <w:r>
                      <w:rPr>
                        <w:rFonts w:ascii="Arial"/>
                        <w:color w:val="231F20"/>
                        <w:spacing w:val="-13"/>
                        <w:sz w:val="14"/>
                      </w:rPr>
                      <w:t> </w:t>
                    </w:r>
                    <w:r>
                      <w:rPr>
                        <w:rFonts w:ascii="Arial"/>
                        <w:color w:val="231F20"/>
                        <w:sz w:val="14"/>
                      </w:rPr>
                      <w:t>within</w:t>
                    </w:r>
                    <w:r>
                      <w:rPr>
                        <w:rFonts w:ascii="Arial"/>
                        <w:color w:val="231F20"/>
                        <w:spacing w:val="-13"/>
                        <w:sz w:val="14"/>
                      </w:rPr>
                      <w:t> </w:t>
                    </w:r>
                    <w:r>
                      <w:rPr>
                        <w:rFonts w:ascii="Arial"/>
                        <w:color w:val="231F20"/>
                        <w:spacing w:val="-6"/>
                        <w:sz w:val="14"/>
                      </w:rPr>
                      <w:t>the </w:t>
                    </w:r>
                    <w:r>
                      <w:rPr>
                        <w:rFonts w:ascii="Arial"/>
                        <w:color w:val="231F20"/>
                        <w:sz w:val="14"/>
                      </w:rPr>
                      <w:t>thorax</w:t>
                    </w:r>
                    <w:r>
                      <w:rPr>
                        <w:rFonts w:ascii="Arial"/>
                        <w:color w:val="231F20"/>
                        <w:spacing w:val="-14"/>
                        <w:sz w:val="14"/>
                      </w:rPr>
                      <w:t> </w:t>
                    </w:r>
                    <w:r>
                      <w:rPr>
                        <w:rFonts w:ascii="Arial"/>
                        <w:color w:val="231F20"/>
                        <w:sz w:val="14"/>
                      </w:rPr>
                      <w:t>and</w:t>
                    </w:r>
                    <w:r>
                      <w:rPr>
                        <w:rFonts w:ascii="Arial"/>
                        <w:color w:val="231F20"/>
                        <w:spacing w:val="-13"/>
                        <w:sz w:val="14"/>
                      </w:rPr>
                      <w:t> </w:t>
                    </w:r>
                    <w:r>
                      <w:rPr>
                        <w:rFonts w:ascii="Arial"/>
                        <w:color w:val="231F20"/>
                        <w:sz w:val="14"/>
                      </w:rPr>
                      <w:t>abdomen.</w:t>
                    </w:r>
                    <w:r>
                      <w:rPr>
                        <w:rFonts w:ascii="Arial"/>
                        <w:color w:val="231F20"/>
                        <w:spacing w:val="-13"/>
                        <w:sz w:val="14"/>
                      </w:rPr>
                      <w:t> </w:t>
                    </w:r>
                    <w:r>
                      <w:rPr>
                        <w:rFonts w:ascii="Arial"/>
                        <w:color w:val="231F20"/>
                        <w:sz w:val="14"/>
                      </w:rPr>
                      <w:t>Afferent</w:t>
                    </w:r>
                    <w:r>
                      <w:rPr>
                        <w:rFonts w:ascii="Arial"/>
                        <w:color w:val="231F20"/>
                        <w:spacing w:val="-13"/>
                        <w:sz w:val="14"/>
                      </w:rPr>
                      <w:t> </w:t>
                    </w:r>
                    <w:r>
                      <w:rPr>
                        <w:rFonts w:ascii="Arial"/>
                        <w:color w:val="231F20"/>
                        <w:sz w:val="14"/>
                      </w:rPr>
                      <w:t>auricular</w:t>
                    </w:r>
                    <w:r>
                      <w:rPr>
                        <w:rFonts w:ascii="Arial"/>
                        <w:color w:val="231F20"/>
                        <w:spacing w:val="-13"/>
                        <w:sz w:val="14"/>
                      </w:rPr>
                      <w:t> </w:t>
                    </w:r>
                    <w:r>
                      <w:rPr>
                        <w:rFonts w:ascii="Arial"/>
                        <w:color w:val="231F20"/>
                        <w:sz w:val="14"/>
                      </w:rPr>
                      <w:t>branches</w:t>
                    </w:r>
                    <w:r>
                      <w:rPr>
                        <w:rFonts w:ascii="Arial"/>
                        <w:color w:val="231F20"/>
                        <w:spacing w:val="-13"/>
                        <w:sz w:val="14"/>
                      </w:rPr>
                      <w:t> </w:t>
                    </w:r>
                    <w:r>
                      <w:rPr>
                        <w:rFonts w:ascii="Arial"/>
                        <w:color w:val="231F20"/>
                        <w:sz w:val="14"/>
                      </w:rPr>
                      <w:t>(aVN)</w:t>
                    </w:r>
                    <w:r>
                      <w:rPr>
                        <w:rFonts w:ascii="Arial"/>
                        <w:color w:val="231F20"/>
                        <w:spacing w:val="-14"/>
                        <w:sz w:val="14"/>
                      </w:rPr>
                      <w:t> </w:t>
                    </w:r>
                    <w:r>
                      <w:rPr>
                        <w:rFonts w:ascii="Arial"/>
                        <w:color w:val="231F20"/>
                        <w:sz w:val="14"/>
                      </w:rPr>
                      <w:t>leave</w:t>
                    </w:r>
                    <w:r>
                      <w:rPr>
                        <w:rFonts w:ascii="Arial"/>
                        <w:color w:val="231F20"/>
                        <w:spacing w:val="-13"/>
                        <w:sz w:val="14"/>
                      </w:rPr>
                      <w:t> </w:t>
                    </w:r>
                    <w:r>
                      <w:rPr>
                        <w:rFonts w:ascii="Arial"/>
                        <w:color w:val="231F20"/>
                        <w:sz w:val="14"/>
                      </w:rPr>
                      <w:t>the</w:t>
                    </w:r>
                    <w:r>
                      <w:rPr>
                        <w:rFonts w:ascii="Arial"/>
                        <w:color w:val="231F20"/>
                        <w:spacing w:val="-13"/>
                        <w:sz w:val="14"/>
                      </w:rPr>
                      <w:t> </w:t>
                    </w:r>
                    <w:r>
                      <w:rPr>
                        <w:rFonts w:ascii="Arial"/>
                        <w:color w:val="231F20"/>
                        <w:sz w:val="14"/>
                      </w:rPr>
                      <w:t>cervical</w:t>
                    </w:r>
                    <w:r>
                      <w:rPr>
                        <w:rFonts w:ascii="Arial"/>
                        <w:color w:val="231F20"/>
                        <w:spacing w:val="-13"/>
                        <w:sz w:val="14"/>
                      </w:rPr>
                      <w:t> </w:t>
                    </w:r>
                    <w:r>
                      <w:rPr>
                        <w:rFonts w:ascii="Arial"/>
                        <w:color w:val="231F20"/>
                        <w:sz w:val="14"/>
                      </w:rPr>
                      <w:t>VN</w:t>
                    </w:r>
                    <w:r>
                      <w:rPr>
                        <w:rFonts w:ascii="Arial"/>
                        <w:color w:val="231F20"/>
                        <w:spacing w:val="-13"/>
                        <w:sz w:val="14"/>
                      </w:rPr>
                      <w:t> </w:t>
                    </w:r>
                    <w:r>
                      <w:rPr>
                        <w:rFonts w:ascii="Arial"/>
                        <w:color w:val="231F20"/>
                        <w:sz w:val="14"/>
                      </w:rPr>
                      <w:t>at</w:t>
                    </w:r>
                    <w:r>
                      <w:rPr>
                        <w:rFonts w:ascii="Arial"/>
                        <w:color w:val="231F20"/>
                        <w:spacing w:val="-13"/>
                        <w:sz w:val="14"/>
                      </w:rPr>
                      <w:t> </w:t>
                    </w:r>
                    <w:r>
                      <w:rPr>
                        <w:rFonts w:ascii="Arial"/>
                        <w:color w:val="231F20"/>
                        <w:sz w:val="14"/>
                      </w:rPr>
                      <w:t>the</w:t>
                    </w:r>
                    <w:r>
                      <w:rPr>
                        <w:rFonts w:ascii="Arial"/>
                        <w:color w:val="231F20"/>
                        <w:spacing w:val="-13"/>
                        <w:sz w:val="14"/>
                      </w:rPr>
                      <w:t> </w:t>
                    </w:r>
                    <w:r>
                      <w:rPr>
                        <w:rFonts w:ascii="Arial"/>
                        <w:color w:val="231F20"/>
                        <w:sz w:val="14"/>
                      </w:rPr>
                      <w:t>level</w:t>
                    </w:r>
                    <w:r>
                      <w:rPr>
                        <w:rFonts w:ascii="Arial"/>
                        <w:color w:val="231F20"/>
                        <w:spacing w:val="-14"/>
                        <w:sz w:val="14"/>
                      </w:rPr>
                      <w:t> </w:t>
                    </w:r>
                    <w:r>
                      <w:rPr>
                        <w:rFonts w:ascii="Arial"/>
                        <w:color w:val="231F20"/>
                        <w:sz w:val="14"/>
                      </w:rPr>
                      <w:t>of</w:t>
                    </w:r>
                    <w:r>
                      <w:rPr>
                        <w:rFonts w:ascii="Arial"/>
                        <w:color w:val="231F20"/>
                        <w:spacing w:val="-13"/>
                        <w:sz w:val="14"/>
                      </w:rPr>
                      <w:t> </w:t>
                    </w:r>
                    <w:r>
                      <w:rPr>
                        <w:rFonts w:ascii="Arial"/>
                        <w:color w:val="231F20"/>
                        <w:sz w:val="14"/>
                      </w:rPr>
                      <w:t>the</w:t>
                    </w:r>
                    <w:r>
                      <w:rPr>
                        <w:rFonts w:ascii="Arial"/>
                        <w:color w:val="231F20"/>
                        <w:spacing w:val="-13"/>
                        <w:sz w:val="14"/>
                      </w:rPr>
                      <w:t> </w:t>
                    </w:r>
                    <w:r>
                      <w:rPr>
                        <w:rFonts w:ascii="Arial"/>
                        <w:color w:val="231F20"/>
                        <w:sz w:val="14"/>
                      </w:rPr>
                      <w:t>jugular</w:t>
                    </w:r>
                    <w:r>
                      <w:rPr>
                        <w:rFonts w:ascii="Arial"/>
                        <w:color w:val="231F20"/>
                        <w:spacing w:val="-13"/>
                        <w:sz w:val="14"/>
                      </w:rPr>
                      <w:t> </w:t>
                    </w:r>
                    <w:r>
                      <w:rPr>
                        <w:rFonts w:ascii="Arial"/>
                        <w:color w:val="231F20"/>
                        <w:sz w:val="14"/>
                      </w:rPr>
                      <w:t>ganglion</w:t>
                    </w:r>
                    <w:r>
                      <w:rPr>
                        <w:rFonts w:ascii="Arial"/>
                        <w:color w:val="231F20"/>
                        <w:spacing w:val="-13"/>
                        <w:sz w:val="14"/>
                      </w:rPr>
                      <w:t> </w:t>
                    </w:r>
                    <w:r>
                      <w:rPr>
                        <w:rFonts w:ascii="Arial"/>
                        <w:color w:val="231F20"/>
                        <w:sz w:val="14"/>
                      </w:rPr>
                      <w:t>just</w:t>
                    </w:r>
                    <w:r>
                      <w:rPr>
                        <w:rFonts w:ascii="Arial"/>
                        <w:color w:val="231F20"/>
                        <w:spacing w:val="-13"/>
                        <w:sz w:val="14"/>
                      </w:rPr>
                      <w:t> </w:t>
                    </w:r>
                    <w:r>
                      <w:rPr>
                        <w:rFonts w:ascii="Arial"/>
                        <w:color w:val="231F20"/>
                        <w:sz w:val="14"/>
                      </w:rPr>
                      <w:t>outside</w:t>
                    </w:r>
                    <w:r>
                      <w:rPr>
                        <w:rFonts w:ascii="Arial"/>
                        <w:color w:val="231F20"/>
                        <w:spacing w:val="-13"/>
                        <w:sz w:val="14"/>
                      </w:rPr>
                      <w:t> </w:t>
                    </w:r>
                    <w:r>
                      <w:rPr>
                        <w:rFonts w:ascii="Arial"/>
                        <w:color w:val="231F20"/>
                        <w:sz w:val="14"/>
                      </w:rPr>
                      <w:t>the</w:t>
                    </w:r>
                    <w:r>
                      <w:rPr>
                        <w:rFonts w:ascii="Arial"/>
                        <w:color w:val="231F20"/>
                        <w:spacing w:val="-14"/>
                        <w:sz w:val="14"/>
                      </w:rPr>
                      <w:t> </w:t>
                    </w:r>
                    <w:r>
                      <w:rPr>
                        <w:rFonts w:ascii="Arial"/>
                        <w:color w:val="231F20"/>
                        <w:sz w:val="14"/>
                      </w:rPr>
                      <w:t>cranium</w:t>
                    </w:r>
                    <w:r>
                      <w:rPr>
                        <w:rFonts w:ascii="Arial"/>
                        <w:color w:val="231F20"/>
                        <w:spacing w:val="-13"/>
                        <w:sz w:val="14"/>
                      </w:rPr>
                      <w:t> </w:t>
                    </w:r>
                    <w:r>
                      <w:rPr>
                        <w:rFonts w:ascii="Arial"/>
                        <w:color w:val="231F20"/>
                        <w:sz w:val="14"/>
                      </w:rPr>
                      <w:t>and</w:t>
                    </w:r>
                    <w:r>
                      <w:rPr>
                        <w:rFonts w:ascii="Arial"/>
                        <w:color w:val="231F20"/>
                        <w:spacing w:val="-13"/>
                        <w:sz w:val="14"/>
                      </w:rPr>
                      <w:t> </w:t>
                    </w:r>
                    <w:r>
                      <w:rPr>
                        <w:rFonts w:ascii="Arial"/>
                        <w:color w:val="231F20"/>
                        <w:sz w:val="14"/>
                      </w:rPr>
                      <w:t>innervate</w:t>
                    </w:r>
                    <w:r>
                      <w:rPr>
                        <w:rFonts w:ascii="Arial"/>
                        <w:color w:val="231F20"/>
                        <w:spacing w:val="-13"/>
                        <w:sz w:val="14"/>
                      </w:rPr>
                      <w:t> </w:t>
                    </w:r>
                    <w:r>
                      <w:rPr>
                        <w:rFonts w:ascii="Arial"/>
                        <w:color w:val="231F20"/>
                        <w:sz w:val="14"/>
                      </w:rPr>
                      <w:t>the</w:t>
                    </w:r>
                    <w:r>
                      <w:rPr>
                        <w:rFonts w:ascii="Arial"/>
                        <w:color w:val="231F20"/>
                        <w:spacing w:val="-13"/>
                        <w:sz w:val="14"/>
                      </w:rPr>
                      <w:t> </w:t>
                    </w:r>
                    <w:r>
                      <w:rPr>
                        <w:rFonts w:ascii="Arial"/>
                        <w:color w:val="231F20"/>
                        <w:sz w:val="14"/>
                      </w:rPr>
                      <w:t>rather central</w:t>
                    </w:r>
                    <w:r>
                      <w:rPr>
                        <w:rFonts w:ascii="Arial"/>
                        <w:color w:val="231F20"/>
                        <w:spacing w:val="-12"/>
                        <w:sz w:val="14"/>
                      </w:rPr>
                      <w:t> </w:t>
                    </w:r>
                    <w:r>
                      <w:rPr>
                        <w:rFonts w:ascii="Arial"/>
                        <w:color w:val="231F20"/>
                        <w:sz w:val="14"/>
                      </w:rPr>
                      <w:t>regions</w:t>
                    </w:r>
                    <w:r>
                      <w:rPr>
                        <w:rFonts w:ascii="Arial"/>
                        <w:color w:val="231F20"/>
                        <w:spacing w:val="-11"/>
                        <w:sz w:val="14"/>
                      </w:rPr>
                      <w:t> </w:t>
                    </w:r>
                    <w:r>
                      <w:rPr>
                        <w:rFonts w:ascii="Arial"/>
                        <w:color w:val="231F20"/>
                        <w:sz w:val="14"/>
                      </w:rPr>
                      <w:t>of</w:t>
                    </w:r>
                    <w:r>
                      <w:rPr>
                        <w:rFonts w:ascii="Arial"/>
                        <w:color w:val="231F20"/>
                        <w:spacing w:val="-11"/>
                        <w:sz w:val="14"/>
                      </w:rPr>
                      <w:t> </w:t>
                    </w:r>
                    <w:r>
                      <w:rPr>
                        <w:rFonts w:ascii="Arial"/>
                        <w:color w:val="231F20"/>
                        <w:sz w:val="14"/>
                      </w:rPr>
                      <w:t>the</w:t>
                    </w:r>
                    <w:r>
                      <w:rPr>
                        <w:rFonts w:ascii="Arial"/>
                        <w:color w:val="231F20"/>
                        <w:spacing w:val="-11"/>
                        <w:sz w:val="14"/>
                      </w:rPr>
                      <w:t> </w:t>
                    </w:r>
                    <w:r>
                      <w:rPr>
                        <w:rFonts w:ascii="Arial"/>
                        <w:color w:val="231F20"/>
                        <w:sz w:val="14"/>
                      </w:rPr>
                      <w:t>pinna</w:t>
                    </w:r>
                    <w:r>
                      <w:rPr>
                        <w:rFonts w:ascii="Arial"/>
                        <w:color w:val="231F20"/>
                        <w:spacing w:val="-12"/>
                        <w:sz w:val="14"/>
                      </w:rPr>
                      <w:t> </w:t>
                    </w:r>
                    <w:r>
                      <w:rPr>
                        <w:rFonts w:ascii="Arial"/>
                        <w:color w:val="231F20"/>
                        <w:sz w:val="14"/>
                      </w:rPr>
                      <w:t>of</w:t>
                    </w:r>
                    <w:r>
                      <w:rPr>
                        <w:rFonts w:ascii="Arial"/>
                        <w:color w:val="231F20"/>
                        <w:spacing w:val="-11"/>
                        <w:sz w:val="14"/>
                      </w:rPr>
                      <w:t> </w:t>
                    </w:r>
                    <w:r>
                      <w:rPr>
                        <w:rFonts w:ascii="Arial"/>
                        <w:color w:val="231F20"/>
                        <w:sz w:val="14"/>
                      </w:rPr>
                      <w:t>the</w:t>
                    </w:r>
                    <w:r>
                      <w:rPr>
                        <w:rFonts w:ascii="Arial"/>
                        <w:color w:val="231F20"/>
                        <w:spacing w:val="-11"/>
                        <w:sz w:val="14"/>
                      </w:rPr>
                      <w:t> </w:t>
                    </w:r>
                    <w:r>
                      <w:rPr>
                        <w:rFonts w:ascii="Arial"/>
                        <w:color w:val="231F20"/>
                        <w:sz w:val="14"/>
                      </w:rPr>
                      <w:t>outer</w:t>
                    </w:r>
                    <w:r>
                      <w:rPr>
                        <w:rFonts w:ascii="Arial"/>
                        <w:color w:val="231F20"/>
                        <w:spacing w:val="-11"/>
                        <w:sz w:val="14"/>
                      </w:rPr>
                      <w:t> </w:t>
                    </w:r>
                    <w:r>
                      <w:rPr>
                        <w:rFonts w:ascii="Arial"/>
                        <w:color w:val="231F20"/>
                        <w:sz w:val="14"/>
                      </w:rPr>
                      <w:t>ear</w:t>
                    </w:r>
                    <w:r>
                      <w:rPr>
                        <w:rFonts w:ascii="Arial"/>
                        <w:color w:val="231F20"/>
                        <w:spacing w:val="-12"/>
                        <w:sz w:val="14"/>
                      </w:rPr>
                      <w:t> </w:t>
                    </w:r>
                    <w:r>
                      <w:rPr>
                        <w:rFonts w:ascii="Arial"/>
                        <w:color w:val="231F20"/>
                        <w:sz w:val="14"/>
                      </w:rPr>
                      <w:t>(</w:t>
                    </w:r>
                    <w:hyperlink w:history="true" w:anchor="_bookmark73">
                      <w:r>
                        <w:rPr>
                          <w:rFonts w:ascii="Arial"/>
                          <w:color w:val="6D6E71"/>
                          <w:sz w:val="14"/>
                        </w:rPr>
                        <w:t>Peuker</w:t>
                      </w:r>
                      <w:r>
                        <w:rPr>
                          <w:rFonts w:ascii="Arial"/>
                          <w:color w:val="6D6E71"/>
                          <w:spacing w:val="-11"/>
                          <w:sz w:val="14"/>
                        </w:rPr>
                        <w:t> </w:t>
                      </w:r>
                      <w:r>
                        <w:rPr>
                          <w:rFonts w:ascii="Arial"/>
                          <w:color w:val="6D6E71"/>
                          <w:sz w:val="14"/>
                        </w:rPr>
                        <w:t>and</w:t>
                      </w:r>
                      <w:r>
                        <w:rPr>
                          <w:rFonts w:ascii="Arial"/>
                          <w:color w:val="6D6E71"/>
                          <w:spacing w:val="-11"/>
                          <w:sz w:val="14"/>
                        </w:rPr>
                        <w:t> </w:t>
                      </w:r>
                      <w:r>
                        <w:rPr>
                          <w:rFonts w:ascii="Arial"/>
                          <w:color w:val="6D6E71"/>
                          <w:sz w:val="14"/>
                        </w:rPr>
                        <w:t>Filler</w:t>
                      </w:r>
                    </w:hyperlink>
                    <w:r>
                      <w:rPr>
                        <w:rFonts w:ascii="Arial"/>
                        <w:color w:val="6D6E71"/>
                        <w:sz w:val="14"/>
                      </w:rPr>
                      <w:t>,</w:t>
                    </w:r>
                    <w:r>
                      <w:rPr>
                        <w:rFonts w:ascii="Arial"/>
                        <w:color w:val="6D6E71"/>
                        <w:spacing w:val="-11"/>
                        <w:sz w:val="14"/>
                      </w:rPr>
                      <w:t> </w:t>
                    </w:r>
                    <w:hyperlink w:history="true" w:anchor="_bookmark73">
                      <w:r>
                        <w:rPr>
                          <w:rFonts w:ascii="Arial"/>
                          <w:color w:val="6D6E71"/>
                          <w:sz w:val="14"/>
                        </w:rPr>
                        <w:t>2002</w:t>
                      </w:r>
                    </w:hyperlink>
                    <w:r>
                      <w:rPr>
                        <w:rFonts w:ascii="Arial"/>
                        <w:color w:val="231F20"/>
                        <w:sz w:val="14"/>
                      </w:rPr>
                      <w:t>).</w:t>
                    </w:r>
                    <w:r>
                      <w:rPr>
                        <w:rFonts w:ascii="Arial"/>
                        <w:color w:val="231F20"/>
                        <w:spacing w:val="-12"/>
                        <w:sz w:val="14"/>
                      </w:rPr>
                      <w:t> </w:t>
                    </w:r>
                    <w:r>
                      <w:rPr>
                        <w:rFonts w:ascii="Arial"/>
                        <w:color w:val="231F20"/>
                        <w:sz w:val="14"/>
                      </w:rPr>
                      <w:t>(B)</w:t>
                    </w:r>
                    <w:r>
                      <w:rPr>
                        <w:rFonts w:ascii="Arial"/>
                        <w:color w:val="231F20"/>
                        <w:spacing w:val="-11"/>
                        <w:sz w:val="14"/>
                      </w:rPr>
                      <w:t> </w:t>
                    </w:r>
                    <w:r>
                      <w:rPr>
                        <w:rFonts w:ascii="Arial"/>
                        <w:color w:val="231F20"/>
                        <w:sz w:val="14"/>
                      </w:rPr>
                      <w:t>Electric</w:t>
                    </w:r>
                    <w:r>
                      <w:rPr>
                        <w:rFonts w:ascii="Arial"/>
                        <w:color w:val="231F20"/>
                        <w:spacing w:val="-11"/>
                        <w:sz w:val="14"/>
                      </w:rPr>
                      <w:t> </w:t>
                    </w:r>
                    <w:r>
                      <w:rPr>
                        <w:rFonts w:ascii="Arial"/>
                        <w:color w:val="231F20"/>
                        <w:sz w:val="14"/>
                      </w:rPr>
                      <w:t>stimulation</w:t>
                    </w:r>
                    <w:r>
                      <w:rPr>
                        <w:rFonts w:ascii="Arial"/>
                        <w:color w:val="231F20"/>
                        <w:spacing w:val="-11"/>
                        <w:sz w:val="14"/>
                      </w:rPr>
                      <w:t> </w:t>
                    </w:r>
                    <w:r>
                      <w:rPr>
                        <w:rFonts w:ascii="Arial"/>
                        <w:color w:val="231F20"/>
                        <w:sz w:val="14"/>
                      </w:rPr>
                      <w:t>of</w:t>
                    </w:r>
                    <w:r>
                      <w:rPr>
                        <w:rFonts w:ascii="Arial"/>
                        <w:color w:val="231F20"/>
                        <w:spacing w:val="-12"/>
                        <w:sz w:val="14"/>
                      </w:rPr>
                      <w:t> </w:t>
                    </w:r>
                    <w:r>
                      <w:rPr>
                        <w:rFonts w:ascii="Arial"/>
                        <w:color w:val="231F20"/>
                        <w:sz w:val="14"/>
                      </w:rPr>
                      <w:t>aVN</w:t>
                    </w:r>
                    <w:r>
                      <w:rPr>
                        <w:rFonts w:ascii="Arial"/>
                        <w:color w:val="231F20"/>
                        <w:spacing w:val="-11"/>
                        <w:sz w:val="14"/>
                      </w:rPr>
                      <w:t> </w:t>
                    </w:r>
                    <w:r>
                      <w:rPr>
                        <w:rFonts w:ascii="Arial"/>
                        <w:color w:val="231F20"/>
                        <w:sz w:val="14"/>
                      </w:rPr>
                      <w:t>endings</w:t>
                    </w:r>
                    <w:r>
                      <w:rPr>
                        <w:rFonts w:ascii="Arial"/>
                        <w:color w:val="231F20"/>
                        <w:spacing w:val="-11"/>
                        <w:sz w:val="14"/>
                      </w:rPr>
                      <w:t> </w:t>
                    </w:r>
                    <w:r>
                      <w:rPr>
                        <w:rFonts w:ascii="Arial"/>
                        <w:color w:val="231F20"/>
                        <w:sz w:val="14"/>
                      </w:rPr>
                      <w:t>with</w:t>
                    </w:r>
                    <w:r>
                      <w:rPr>
                        <w:rFonts w:ascii="Arial"/>
                        <w:color w:val="231F20"/>
                        <w:spacing w:val="-11"/>
                        <w:sz w:val="14"/>
                      </w:rPr>
                      <w:t> </w:t>
                    </w:r>
                    <w:r>
                      <w:rPr>
                        <w:rFonts w:ascii="Arial"/>
                        <w:color w:val="231F20"/>
                        <w:sz w:val="14"/>
                      </w:rPr>
                      <w:t>needle</w:t>
                    </w:r>
                    <w:r>
                      <w:rPr>
                        <w:rFonts w:ascii="Arial"/>
                        <w:color w:val="231F20"/>
                        <w:spacing w:val="-12"/>
                        <w:sz w:val="14"/>
                      </w:rPr>
                      <w:t> </w:t>
                    </w:r>
                    <w:r>
                      <w:rPr>
                        <w:rFonts w:ascii="Arial"/>
                        <w:color w:val="231F20"/>
                        <w:sz w:val="14"/>
                      </w:rPr>
                      <w:t>electrodes</w:t>
                    </w:r>
                    <w:r>
                      <w:rPr>
                        <w:rFonts w:ascii="Arial"/>
                        <w:color w:val="231F20"/>
                        <w:spacing w:val="-11"/>
                        <w:sz w:val="14"/>
                      </w:rPr>
                      <w:t> </w:t>
                    </w:r>
                    <w:r>
                      <w:rPr>
                        <w:rFonts w:ascii="Arial"/>
                        <w:color w:val="231F20"/>
                        <w:sz w:val="14"/>
                      </w:rPr>
                      <w:t>located</w:t>
                    </w:r>
                    <w:r>
                      <w:rPr>
                        <w:rFonts w:ascii="Arial"/>
                        <w:color w:val="231F20"/>
                        <w:spacing w:val="-11"/>
                        <w:sz w:val="14"/>
                      </w:rPr>
                      <w:t> </w:t>
                    </w:r>
                    <w:r>
                      <w:rPr>
                        <w:rFonts w:ascii="Arial"/>
                        <w:color w:val="231F20"/>
                        <w:sz w:val="14"/>
                      </w:rPr>
                      <w:t>within</w:t>
                    </w:r>
                    <w:r>
                      <w:rPr>
                        <w:rFonts w:ascii="Arial"/>
                        <w:color w:val="231F20"/>
                        <w:spacing w:val="-11"/>
                        <w:sz w:val="14"/>
                      </w:rPr>
                      <w:t> </w:t>
                    </w:r>
                    <w:r>
                      <w:rPr>
                        <w:rFonts w:ascii="Arial"/>
                        <w:color w:val="231F20"/>
                        <w:sz w:val="14"/>
                      </w:rPr>
                      <w:t>these</w:t>
                    </w:r>
                    <w:r>
                      <w:rPr>
                        <w:rFonts w:ascii="Arial"/>
                        <w:color w:val="231F20"/>
                        <w:spacing w:val="-12"/>
                        <w:sz w:val="14"/>
                      </w:rPr>
                      <w:t> </w:t>
                    </w:r>
                    <w:r>
                      <w:rPr>
                        <w:rFonts w:ascii="Arial"/>
                        <w:color w:val="231F20"/>
                        <w:sz w:val="14"/>
                      </w:rPr>
                      <w:t>central regions.</w:t>
                    </w:r>
                    <w:r>
                      <w:rPr>
                        <w:rFonts w:ascii="Arial"/>
                        <w:color w:val="231F20"/>
                        <w:spacing w:val="-6"/>
                        <w:sz w:val="14"/>
                      </w:rPr>
                      <w:t> </w:t>
                    </w:r>
                    <w:r>
                      <w:rPr>
                        <w:rFonts w:ascii="Arial"/>
                        <w:color w:val="231F20"/>
                        <w:sz w:val="14"/>
                      </w:rPr>
                      <w:t>NTS,</w:t>
                    </w:r>
                    <w:r>
                      <w:rPr>
                        <w:rFonts w:ascii="Arial"/>
                        <w:color w:val="231F20"/>
                        <w:spacing w:val="-6"/>
                        <w:sz w:val="14"/>
                      </w:rPr>
                      <w:t> </w:t>
                    </w:r>
                    <w:r>
                      <w:rPr>
                        <w:rFonts w:ascii="Arial"/>
                        <w:color w:val="231F20"/>
                        <w:sz w:val="14"/>
                      </w:rPr>
                      <w:t>nucleus</w:t>
                    </w:r>
                    <w:r>
                      <w:rPr>
                        <w:rFonts w:ascii="Arial"/>
                        <w:color w:val="231F20"/>
                        <w:spacing w:val="-5"/>
                        <w:sz w:val="14"/>
                      </w:rPr>
                      <w:t> </w:t>
                    </w:r>
                    <w:r>
                      <w:rPr>
                        <w:rFonts w:ascii="Arial"/>
                        <w:color w:val="231F20"/>
                        <w:sz w:val="14"/>
                      </w:rPr>
                      <w:t>of</w:t>
                    </w:r>
                    <w:r>
                      <w:rPr>
                        <w:rFonts w:ascii="Arial"/>
                        <w:color w:val="231F20"/>
                        <w:spacing w:val="-6"/>
                        <w:sz w:val="14"/>
                      </w:rPr>
                      <w:t> </w:t>
                    </w:r>
                    <w:r>
                      <w:rPr>
                        <w:rFonts w:ascii="Arial"/>
                        <w:color w:val="231F20"/>
                        <w:sz w:val="14"/>
                      </w:rPr>
                      <w:t>the</w:t>
                    </w:r>
                    <w:r>
                      <w:rPr>
                        <w:rFonts w:ascii="Arial"/>
                        <w:color w:val="231F20"/>
                        <w:spacing w:val="-5"/>
                        <w:sz w:val="14"/>
                      </w:rPr>
                      <w:t> </w:t>
                    </w:r>
                    <w:r>
                      <w:rPr>
                        <w:rFonts w:ascii="Arial"/>
                        <w:color w:val="231F20"/>
                        <w:sz w:val="14"/>
                      </w:rPr>
                      <w:t>solitary</w:t>
                    </w:r>
                    <w:r>
                      <w:rPr>
                        <w:rFonts w:ascii="Arial"/>
                        <w:color w:val="231F20"/>
                        <w:spacing w:val="-6"/>
                        <w:sz w:val="14"/>
                      </w:rPr>
                      <w:t> </w:t>
                    </w:r>
                    <w:r>
                      <w:rPr>
                        <w:rFonts w:ascii="Arial"/>
                        <w:color w:val="231F20"/>
                        <w:sz w:val="14"/>
                      </w:rPr>
                      <w:t>tract;</w:t>
                    </w:r>
                    <w:r>
                      <w:rPr>
                        <w:rFonts w:ascii="Arial"/>
                        <w:color w:val="231F20"/>
                        <w:spacing w:val="-6"/>
                        <w:sz w:val="14"/>
                      </w:rPr>
                      <w:t> </w:t>
                    </w:r>
                    <w:r>
                      <w:rPr>
                        <w:rFonts w:ascii="Arial"/>
                        <w:color w:val="231F20"/>
                        <w:spacing w:val="-4"/>
                        <w:sz w:val="14"/>
                      </w:rPr>
                      <w:t>NSNT,</w:t>
                    </w:r>
                    <w:r>
                      <w:rPr>
                        <w:rFonts w:ascii="Arial"/>
                        <w:color w:val="231F20"/>
                        <w:spacing w:val="-5"/>
                        <w:sz w:val="14"/>
                      </w:rPr>
                      <w:t> </w:t>
                    </w:r>
                    <w:r>
                      <w:rPr>
                        <w:rFonts w:ascii="Arial"/>
                        <w:color w:val="231F20"/>
                        <w:sz w:val="14"/>
                      </w:rPr>
                      <w:t>nucleus</w:t>
                    </w:r>
                    <w:r>
                      <w:rPr>
                        <w:rFonts w:ascii="Arial"/>
                        <w:color w:val="231F20"/>
                        <w:spacing w:val="-6"/>
                        <w:sz w:val="14"/>
                      </w:rPr>
                      <w:t> </w:t>
                    </w:r>
                    <w:r>
                      <w:rPr>
                        <w:rFonts w:ascii="Arial"/>
                        <w:color w:val="231F20"/>
                        <w:sz w:val="14"/>
                      </w:rPr>
                      <w:t>spinalis</w:t>
                    </w:r>
                    <w:r>
                      <w:rPr>
                        <w:rFonts w:ascii="Arial"/>
                        <w:color w:val="231F20"/>
                        <w:spacing w:val="-5"/>
                        <w:sz w:val="14"/>
                      </w:rPr>
                      <w:t> </w:t>
                    </w:r>
                    <w:r>
                      <w:rPr>
                        <w:rFonts w:ascii="Arial"/>
                        <w:color w:val="231F20"/>
                        <w:sz w:val="14"/>
                      </w:rPr>
                      <w:t>of</w:t>
                    </w:r>
                    <w:r>
                      <w:rPr>
                        <w:rFonts w:ascii="Arial"/>
                        <w:color w:val="231F20"/>
                        <w:spacing w:val="-6"/>
                        <w:sz w:val="14"/>
                      </w:rPr>
                      <w:t> </w:t>
                    </w:r>
                    <w:r>
                      <w:rPr>
                        <w:rFonts w:ascii="Arial"/>
                        <w:color w:val="231F20"/>
                        <w:sz w:val="14"/>
                      </w:rPr>
                      <w:t>the</w:t>
                    </w:r>
                    <w:r>
                      <w:rPr>
                        <w:rFonts w:ascii="Arial"/>
                        <w:color w:val="231F20"/>
                        <w:spacing w:val="-6"/>
                        <w:sz w:val="14"/>
                      </w:rPr>
                      <w:t> </w:t>
                    </w:r>
                    <w:r>
                      <w:rPr>
                        <w:rFonts w:ascii="Arial"/>
                        <w:color w:val="231F20"/>
                        <w:sz w:val="14"/>
                      </w:rPr>
                      <w:t>trigeminal</w:t>
                    </w:r>
                    <w:r>
                      <w:rPr>
                        <w:rFonts w:ascii="Arial"/>
                        <w:color w:val="231F20"/>
                        <w:spacing w:val="-5"/>
                        <w:sz w:val="14"/>
                      </w:rPr>
                      <w:t> </w:t>
                    </w:r>
                    <w:r>
                      <w:rPr>
                        <w:rFonts w:ascii="Arial"/>
                        <w:color w:val="231F20"/>
                        <w:sz w:val="14"/>
                      </w:rPr>
                      <w:t>nerve;</w:t>
                    </w:r>
                    <w:r>
                      <w:rPr>
                        <w:rFonts w:ascii="Arial"/>
                        <w:color w:val="231F20"/>
                        <w:spacing w:val="-6"/>
                        <w:sz w:val="14"/>
                      </w:rPr>
                      <w:t> </w:t>
                    </w:r>
                    <w:r>
                      <w:rPr>
                        <w:rFonts w:ascii="Arial"/>
                        <w:color w:val="231F20"/>
                        <w:sz w:val="14"/>
                      </w:rPr>
                      <w:t>NA,</w:t>
                    </w:r>
                    <w:r>
                      <w:rPr>
                        <w:rFonts w:ascii="Arial"/>
                        <w:color w:val="231F20"/>
                        <w:spacing w:val="-5"/>
                        <w:sz w:val="14"/>
                      </w:rPr>
                      <w:t> </w:t>
                    </w:r>
                    <w:r>
                      <w:rPr>
                        <w:rFonts w:ascii="Arial"/>
                        <w:color w:val="231F20"/>
                        <w:sz w:val="14"/>
                      </w:rPr>
                      <w:t>nucleus</w:t>
                    </w:r>
                    <w:r>
                      <w:rPr>
                        <w:rFonts w:ascii="Arial"/>
                        <w:color w:val="231F20"/>
                        <w:spacing w:val="-6"/>
                        <w:sz w:val="14"/>
                      </w:rPr>
                      <w:t> </w:t>
                    </w:r>
                    <w:r>
                      <w:rPr>
                        <w:rFonts w:ascii="Arial"/>
                        <w:color w:val="231F20"/>
                        <w:sz w:val="14"/>
                      </w:rPr>
                      <w:t>ambiguous;</w:t>
                    </w:r>
                    <w:r>
                      <w:rPr>
                        <w:rFonts w:ascii="Arial"/>
                        <w:color w:val="231F20"/>
                        <w:spacing w:val="-5"/>
                        <w:sz w:val="14"/>
                      </w:rPr>
                      <w:t> </w:t>
                    </w:r>
                    <w:r>
                      <w:rPr>
                        <w:rFonts w:ascii="Arial"/>
                        <w:color w:val="231F20"/>
                        <w:sz w:val="14"/>
                      </w:rPr>
                      <w:t>DMN,</w:t>
                    </w:r>
                    <w:r>
                      <w:rPr>
                        <w:rFonts w:ascii="Arial"/>
                        <w:color w:val="231F20"/>
                        <w:spacing w:val="-6"/>
                        <w:sz w:val="14"/>
                      </w:rPr>
                      <w:t> </w:t>
                    </w:r>
                    <w:r>
                      <w:rPr>
                        <w:rFonts w:ascii="Arial"/>
                        <w:color w:val="231F20"/>
                        <w:sz w:val="14"/>
                      </w:rPr>
                      <w:t>dorsal</w:t>
                    </w:r>
                    <w:r>
                      <w:rPr>
                        <w:rFonts w:ascii="Arial"/>
                        <w:color w:val="231F20"/>
                        <w:spacing w:val="-6"/>
                        <w:sz w:val="14"/>
                      </w:rPr>
                      <w:t> </w:t>
                    </w:r>
                    <w:r>
                      <w:rPr>
                        <w:rFonts w:ascii="Arial"/>
                        <w:color w:val="231F20"/>
                        <w:sz w:val="14"/>
                      </w:rPr>
                      <w:t>motor</w:t>
                    </w:r>
                    <w:r>
                      <w:rPr>
                        <w:rFonts w:ascii="Arial"/>
                        <w:color w:val="231F20"/>
                        <w:spacing w:val="-5"/>
                        <w:sz w:val="14"/>
                      </w:rPr>
                      <w:t> </w:t>
                    </w:r>
                    <w:r>
                      <w:rPr>
                        <w:rFonts w:ascii="Arial"/>
                        <w:color w:val="231F20"/>
                        <w:sz w:val="14"/>
                      </w:rPr>
                      <w:t>nucleus.</w:t>
                    </w:r>
                  </w:p>
                </w:txbxContent>
              </v:textbox>
              <v:stroke dashstyle="solid"/>
              <w10:wrap type="none"/>
            </v:shape>
          </v:group>
        </w:pict>
      </w:r>
      <w:r>
        <w:rPr>
          <w:rFonts w:ascii="Arial"/>
          <w:sz w:val="20"/>
        </w:rPr>
      </w:r>
    </w:p>
    <w:p>
      <w:pPr>
        <w:pStyle w:val="BodyText"/>
        <w:spacing w:before="6"/>
        <w:ind w:left="0"/>
        <w:rPr>
          <w:rFonts w:ascii="Arial"/>
          <w:sz w:val="21"/>
        </w:rPr>
      </w:pPr>
    </w:p>
    <w:p>
      <w:pPr>
        <w:spacing w:after="0"/>
        <w:rPr>
          <w:rFonts w:ascii="Arial"/>
          <w:sz w:val="21"/>
        </w:rPr>
        <w:sectPr>
          <w:footerReference w:type="default" r:id="rId34"/>
          <w:pgSz w:w="11910" w:h="15600"/>
          <w:pgMar w:footer="588" w:header="560" w:top="840" w:bottom="780" w:left="740" w:right="740"/>
          <w:pgNumType w:start="3"/>
        </w:sectPr>
      </w:pPr>
    </w:p>
    <w:p>
      <w:pPr>
        <w:pStyle w:val="BodyText"/>
        <w:spacing w:line="213" w:lineRule="auto" w:before="107"/>
        <w:ind w:left="354"/>
        <w:jc w:val="both"/>
      </w:pPr>
      <w:r>
        <w:rPr/>
        <w:pict>
          <v:shape style="position:absolute;margin-left:52.566448pt;margin-top:50.828598pt;width:241.3pt;height:12.15pt;mso-position-horizontal-relative:page;mso-position-vertical-relative:paragraph;z-index:1456" type="#_x0000_t202" filled="true" fillcolor="#fde164" stroked="false">
            <v:textbox inset="0,0,0,0">
              <w:txbxContent>
                <w:p>
                  <w:pPr>
                    <w:pStyle w:val="BodyText"/>
                    <w:spacing w:line="243" w:lineRule="exact"/>
                    <w:ind w:left="42"/>
                  </w:pPr>
                  <w:r>
                    <w:rPr>
                      <w:color w:val="231F20"/>
                    </w:rPr>
                    <w:t>exclude application of strong and bilateral stimuli limiting</w:t>
                  </w:r>
                </w:p>
              </w:txbxContent>
            </v:textbox>
            <v:fill opacity="26214f" type="solid"/>
            <w10:wrap type="none"/>
          </v:shape>
        </w:pict>
      </w:r>
      <w:r>
        <w:rPr/>
        <w:pict>
          <v:shape style="position:absolute;margin-left:223.499344pt;margin-top:39.371601pt;width:70.4pt;height:11.5pt;mso-position-horizontal-relative:page;mso-position-vertical-relative:paragraph;z-index:-41992" type="#_x0000_t202" filled="true" fillcolor="#fde164" stroked="false">
            <v:textbox inset="0,0,0,0">
              <w:txbxContent>
                <w:p>
                  <w:pPr>
                    <w:pStyle w:val="BodyText"/>
                    <w:spacing w:line="229" w:lineRule="exact"/>
                    <w:ind w:left="42"/>
                  </w:pPr>
                  <w:r>
                    <w:rPr>
                      <w:color w:val="231F20"/>
                    </w:rPr>
                    <w:t>These side effects</w:t>
                  </w:r>
                </w:p>
              </w:txbxContent>
            </v:textbox>
            <v:fill opacity="26214f" type="solid"/>
            <w10:wrap type="none"/>
          </v:shape>
        </w:pict>
      </w:r>
      <w:r>
        <w:rPr>
          <w:color w:val="231F20"/>
        </w:rPr>
        <w:t>This unwanted stimulation of motor VN fibers leads </w:t>
      </w:r>
      <w:r>
        <w:rPr>
          <w:color w:val="231F20"/>
          <w:spacing w:val="-7"/>
        </w:rPr>
        <w:t>to </w:t>
      </w:r>
      <w:r>
        <w:rPr>
          <w:color w:val="231F20"/>
        </w:rPr>
        <w:t>unfavorable</w:t>
      </w:r>
      <w:r>
        <w:rPr>
          <w:color w:val="231F20"/>
          <w:spacing w:val="-14"/>
        </w:rPr>
        <w:t> </w:t>
      </w:r>
      <w:r>
        <w:rPr>
          <w:color w:val="231F20"/>
        </w:rPr>
        <w:t>multiple</w:t>
      </w:r>
      <w:r>
        <w:rPr>
          <w:color w:val="231F20"/>
          <w:spacing w:val="-13"/>
        </w:rPr>
        <w:t> </w:t>
      </w:r>
      <w:r>
        <w:rPr>
          <w:color w:val="231F20"/>
        </w:rPr>
        <w:t>side</w:t>
      </w:r>
      <w:r>
        <w:rPr>
          <w:color w:val="231F20"/>
          <w:spacing w:val="-13"/>
        </w:rPr>
        <w:t> </w:t>
      </w:r>
      <w:r>
        <w:rPr>
          <w:color w:val="231F20"/>
        </w:rPr>
        <w:t>effects</w:t>
      </w:r>
      <w:r>
        <w:rPr>
          <w:color w:val="231F20"/>
          <w:spacing w:val="-13"/>
        </w:rPr>
        <w:t> </w:t>
      </w:r>
      <w:r>
        <w:rPr>
          <w:color w:val="231F20"/>
        </w:rPr>
        <w:t>such</w:t>
      </w:r>
      <w:r>
        <w:rPr>
          <w:color w:val="231F20"/>
          <w:spacing w:val="-13"/>
        </w:rPr>
        <w:t> </w:t>
      </w:r>
      <w:r>
        <w:rPr>
          <w:color w:val="231F20"/>
        </w:rPr>
        <w:t>as</w:t>
      </w:r>
      <w:r>
        <w:rPr>
          <w:color w:val="231F20"/>
          <w:spacing w:val="-13"/>
        </w:rPr>
        <w:t> </w:t>
      </w:r>
      <w:r>
        <w:rPr>
          <w:color w:val="231F20"/>
        </w:rPr>
        <w:t>cough,</w:t>
      </w:r>
      <w:r>
        <w:rPr>
          <w:color w:val="231F20"/>
          <w:spacing w:val="-13"/>
        </w:rPr>
        <w:t> </w:t>
      </w:r>
      <w:r>
        <w:rPr>
          <w:color w:val="231F20"/>
        </w:rPr>
        <w:t>voice</w:t>
      </w:r>
      <w:r>
        <w:rPr>
          <w:color w:val="231F20"/>
          <w:spacing w:val="-14"/>
        </w:rPr>
        <w:t> </w:t>
      </w:r>
      <w:r>
        <w:rPr>
          <w:color w:val="231F20"/>
        </w:rPr>
        <w:t>alteration (hoarseness),</w:t>
      </w:r>
      <w:r>
        <w:rPr>
          <w:color w:val="231F20"/>
          <w:spacing w:val="-10"/>
        </w:rPr>
        <w:t> </w:t>
      </w:r>
      <w:r>
        <w:rPr>
          <w:color w:val="231F20"/>
        </w:rPr>
        <w:t>swallowing</w:t>
      </w:r>
      <w:r>
        <w:rPr>
          <w:color w:val="231F20"/>
          <w:spacing w:val="-10"/>
        </w:rPr>
        <w:t> </w:t>
      </w:r>
      <w:r>
        <w:rPr>
          <w:color w:val="231F20"/>
        </w:rPr>
        <w:t>difficulties,</w:t>
      </w:r>
      <w:r>
        <w:rPr>
          <w:color w:val="231F20"/>
          <w:spacing w:val="-9"/>
        </w:rPr>
        <w:t> </w:t>
      </w:r>
      <w:r>
        <w:rPr>
          <w:color w:val="231F20"/>
        </w:rPr>
        <w:t>or</w:t>
      </w:r>
      <w:r>
        <w:rPr>
          <w:color w:val="231F20"/>
          <w:spacing w:val="-10"/>
        </w:rPr>
        <w:t> </w:t>
      </w:r>
      <w:r>
        <w:rPr>
          <w:color w:val="231F20"/>
        </w:rPr>
        <w:t>bradycardia,</w:t>
      </w:r>
      <w:r>
        <w:rPr>
          <w:color w:val="231F20"/>
          <w:spacing w:val="-9"/>
        </w:rPr>
        <w:t> </w:t>
      </w:r>
      <w:r>
        <w:rPr>
          <w:color w:val="231F20"/>
        </w:rPr>
        <w:t>present</w:t>
      </w:r>
      <w:r>
        <w:rPr>
          <w:color w:val="231F20"/>
          <w:spacing w:val="-10"/>
        </w:rPr>
        <w:t> </w:t>
      </w:r>
      <w:r>
        <w:rPr>
          <w:color w:val="231F20"/>
          <w:spacing w:val="-7"/>
        </w:rPr>
        <w:t>in </w:t>
      </w:r>
      <w:r>
        <w:rPr>
          <w:color w:val="231F20"/>
        </w:rPr>
        <w:t>up to 30% of patients (</w:t>
      </w:r>
      <w:hyperlink w:history="true" w:anchor="_bookmark58">
        <w:r>
          <w:rPr>
            <w:color w:val="6D6E71"/>
          </w:rPr>
          <w:t>Liporace et al.</w:t>
        </w:r>
      </w:hyperlink>
      <w:r>
        <w:rPr>
          <w:color w:val="6D6E71"/>
        </w:rPr>
        <w:t>,</w:t>
      </w:r>
      <w:r>
        <w:rPr>
          <w:color w:val="6D6E71"/>
          <w:spacing w:val="23"/>
        </w:rPr>
        <w:t> </w:t>
      </w:r>
      <w:hyperlink w:history="true" w:anchor="_bookmark58">
        <w:r>
          <w:rPr>
            <w:color w:val="6D6E71"/>
          </w:rPr>
          <w:t>2001</w:t>
        </w:r>
      </w:hyperlink>
      <w:r>
        <w:rPr>
          <w:color w:val="231F20"/>
        </w:rPr>
        <w:t>).</w:t>
      </w:r>
    </w:p>
    <w:p>
      <w:pPr>
        <w:pStyle w:val="BodyText"/>
        <w:spacing w:before="4"/>
        <w:ind w:left="0"/>
        <w:rPr>
          <w:sz w:val="17"/>
        </w:rPr>
      </w:pPr>
    </w:p>
    <w:p>
      <w:pPr>
        <w:pStyle w:val="BodyText"/>
        <w:spacing w:line="213" w:lineRule="auto"/>
        <w:ind w:left="354" w:firstLine="1831"/>
        <w:jc w:val="both"/>
      </w:pPr>
      <w:r>
        <w:rPr/>
        <w:pict>
          <v:shape style="position:absolute;margin-left:52.566448pt;margin-top:.324896pt;width:92.6pt;height:11.5pt;mso-position-horizontal-relative:page;mso-position-vertical-relative:paragraph;z-index:-42040" type="#_x0000_t202" filled="true" fillcolor="#fde164" stroked="false">
            <v:textbox inset="0,0,0,0">
              <w:txbxContent>
                <w:p>
                  <w:pPr>
                    <w:pStyle w:val="BodyText"/>
                    <w:spacing w:line="229" w:lineRule="exact"/>
                    <w:ind w:left="42" w:right="-29"/>
                  </w:pPr>
                  <w:r>
                    <w:rPr>
                      <w:color w:val="231F20"/>
                    </w:rPr>
                    <w:t>their potential efficacy</w:t>
                  </w:r>
                  <w:r>
                    <w:rPr>
                      <w:color w:val="231F20"/>
                      <w:spacing w:val="17"/>
                    </w:rPr>
                    <w:t> </w:t>
                  </w:r>
                  <w:r>
                    <w:rPr>
                      <w:color w:val="231F20"/>
                    </w:rPr>
                    <w:t>(</w:t>
                  </w:r>
                </w:p>
              </w:txbxContent>
            </v:textbox>
            <v:fill opacity="26214f" type="solid"/>
            <w10:wrap type="none"/>
          </v:shape>
        </w:pict>
      </w:r>
      <w:hyperlink w:history="true" w:anchor="_bookmark63">
        <w:r>
          <w:rPr>
            <w:color w:val="6D6E71"/>
          </w:rPr>
          <w:t>Mercante et al.</w:t>
        </w:r>
      </w:hyperlink>
      <w:r>
        <w:rPr>
          <w:color w:val="6D6E71"/>
        </w:rPr>
        <w:t>, </w:t>
      </w:r>
      <w:hyperlink w:history="true" w:anchor="_bookmark63">
        <w:r>
          <w:rPr>
            <w:color w:val="6D6E71"/>
          </w:rPr>
          <w:t>2018</w:t>
        </w:r>
      </w:hyperlink>
      <w:r>
        <w:rPr>
          <w:color w:val="231F20"/>
        </w:rPr>
        <w:t>). Side effects </w:t>
      </w:r>
      <w:r>
        <w:rPr>
          <w:color w:val="231F20"/>
          <w:spacing w:val="-6"/>
        </w:rPr>
        <w:t>are </w:t>
      </w:r>
      <w:r>
        <w:rPr>
          <w:color w:val="231F20"/>
        </w:rPr>
        <w:t>incongruently reported either to increase during the time </w:t>
      </w:r>
      <w:r>
        <w:rPr>
          <w:color w:val="231F20"/>
          <w:spacing w:val="-6"/>
        </w:rPr>
        <w:t>of </w:t>
      </w:r>
      <w:r>
        <w:rPr>
          <w:color w:val="231F20"/>
        </w:rPr>
        <w:t>stimulation (</w:t>
      </w:r>
      <w:hyperlink w:history="true" w:anchor="_bookmark58">
        <w:r>
          <w:rPr>
            <w:color w:val="6D6E71"/>
          </w:rPr>
          <w:t>Liporace et al.</w:t>
        </w:r>
      </w:hyperlink>
      <w:r>
        <w:rPr>
          <w:color w:val="6D6E71"/>
        </w:rPr>
        <w:t>, </w:t>
      </w:r>
      <w:hyperlink w:history="true" w:anchor="_bookmark58">
        <w:r>
          <w:rPr>
            <w:color w:val="6D6E71"/>
          </w:rPr>
          <w:t>2001</w:t>
        </w:r>
      </w:hyperlink>
      <w:r>
        <w:rPr>
          <w:color w:val="231F20"/>
        </w:rPr>
        <w:t>) or decrease (</w:t>
      </w:r>
      <w:hyperlink w:history="true" w:anchor="_bookmark11">
        <w:r>
          <w:rPr>
            <w:color w:val="6D6E71"/>
          </w:rPr>
          <w:t>Beekwilder </w:t>
        </w:r>
        <w:r>
          <w:rPr>
            <w:color w:val="6D6E71"/>
            <w:spacing w:val="-5"/>
          </w:rPr>
          <w:t>and</w:t>
        </w:r>
      </w:hyperlink>
      <w:r>
        <w:rPr>
          <w:color w:val="6D6E71"/>
          <w:spacing w:val="-5"/>
        </w:rPr>
        <w:t> </w:t>
      </w:r>
      <w:hyperlink w:history="true" w:anchor="_bookmark11">
        <w:r>
          <w:rPr>
            <w:color w:val="6D6E71"/>
          </w:rPr>
          <w:t>Beems</w:t>
        </w:r>
      </w:hyperlink>
      <w:r>
        <w:rPr>
          <w:color w:val="6D6E71"/>
        </w:rPr>
        <w:t>, </w:t>
      </w:r>
      <w:hyperlink w:history="true" w:anchor="_bookmark11">
        <w:r>
          <w:rPr>
            <w:color w:val="6D6E71"/>
          </w:rPr>
          <w:t>2010</w:t>
        </w:r>
      </w:hyperlink>
      <w:r>
        <w:rPr>
          <w:color w:val="231F20"/>
        </w:rPr>
        <w:t>; </w:t>
      </w:r>
      <w:hyperlink w:history="true" w:anchor="_bookmark12">
        <w:r>
          <w:rPr>
            <w:color w:val="6D6E71"/>
          </w:rPr>
          <w:t>Ben-Menachem et al.</w:t>
        </w:r>
      </w:hyperlink>
      <w:r>
        <w:rPr>
          <w:color w:val="6D6E71"/>
        </w:rPr>
        <w:t>, </w:t>
      </w:r>
      <w:hyperlink w:history="true" w:anchor="_bookmark12">
        <w:r>
          <w:rPr>
            <w:color w:val="6D6E71"/>
          </w:rPr>
          <w:t>2015</w:t>
        </w:r>
      </w:hyperlink>
      <w:r>
        <w:rPr>
          <w:color w:val="231F20"/>
        </w:rPr>
        <w:t>).</w:t>
      </w:r>
    </w:p>
    <w:p>
      <w:pPr>
        <w:pStyle w:val="ListParagraph"/>
        <w:numPr>
          <w:ilvl w:val="0"/>
          <w:numId w:val="1"/>
        </w:numPr>
        <w:tabs>
          <w:tab w:pos="640" w:val="left" w:leader="none"/>
        </w:tabs>
        <w:spacing w:line="213" w:lineRule="auto" w:before="4" w:after="0"/>
        <w:ind w:left="354" w:right="0" w:firstLine="0"/>
        <w:jc w:val="both"/>
        <w:rPr>
          <w:sz w:val="19"/>
        </w:rPr>
      </w:pPr>
      <w:r>
        <w:rPr>
          <w:color w:val="231F20"/>
          <w:sz w:val="19"/>
        </w:rPr>
        <w:t>The afferent branches of the cervical VN can also be </w:t>
      </w:r>
      <w:r>
        <w:rPr>
          <w:color w:val="231F20"/>
          <w:spacing w:val="-3"/>
          <w:sz w:val="19"/>
        </w:rPr>
        <w:t>non- </w:t>
      </w:r>
      <w:r>
        <w:rPr>
          <w:color w:val="231F20"/>
          <w:sz w:val="19"/>
        </w:rPr>
        <w:t>invasively stimulated via surface skin electrodes of a</w:t>
      </w:r>
      <w:r>
        <w:rPr>
          <w:color w:val="231F20"/>
          <w:spacing w:val="-29"/>
          <w:sz w:val="19"/>
        </w:rPr>
        <w:t> </w:t>
      </w:r>
      <w:r>
        <w:rPr>
          <w:color w:val="231F20"/>
          <w:spacing w:val="-3"/>
          <w:sz w:val="19"/>
        </w:rPr>
        <w:t>hand-held </w:t>
      </w:r>
      <w:r>
        <w:rPr>
          <w:color w:val="231F20"/>
          <w:sz w:val="19"/>
        </w:rPr>
        <w:t>device applied at the neck (</w:t>
      </w:r>
      <w:hyperlink w:history="true" w:anchor="_bookmark10">
        <w:r>
          <w:rPr>
            <w:color w:val="6D6E71"/>
            <w:sz w:val="19"/>
          </w:rPr>
          <w:t>Barbanti et al.</w:t>
        </w:r>
      </w:hyperlink>
      <w:r>
        <w:rPr>
          <w:color w:val="6D6E71"/>
          <w:sz w:val="19"/>
        </w:rPr>
        <w:t>, </w:t>
      </w:r>
      <w:hyperlink w:history="true" w:anchor="_bookmark10">
        <w:r>
          <w:rPr>
            <w:color w:val="6D6E71"/>
            <w:sz w:val="19"/>
          </w:rPr>
          <w:t>2015</w:t>
        </w:r>
      </w:hyperlink>
      <w:r>
        <w:rPr>
          <w:color w:val="231F20"/>
          <w:sz w:val="19"/>
        </w:rPr>
        <w:t>; </w:t>
      </w:r>
      <w:hyperlink w:history="true" w:anchor="_bookmark35">
        <w:r>
          <w:rPr>
            <w:color w:val="6D6E71"/>
            <w:sz w:val="19"/>
          </w:rPr>
          <w:t>Gaul et </w:t>
        </w:r>
        <w:r>
          <w:rPr>
            <w:color w:val="6D6E71"/>
            <w:spacing w:val="-4"/>
            <w:sz w:val="19"/>
          </w:rPr>
          <w:t>al.</w:t>
        </w:r>
      </w:hyperlink>
      <w:r>
        <w:rPr>
          <w:color w:val="6D6E71"/>
          <w:spacing w:val="-4"/>
          <w:sz w:val="19"/>
        </w:rPr>
        <w:t>,</w:t>
      </w:r>
      <w:hyperlink w:history="true" w:anchor="_bookmark35">
        <w:r>
          <w:rPr>
            <w:color w:val="6D6E71"/>
            <w:spacing w:val="-4"/>
            <w:sz w:val="19"/>
          </w:rPr>
          <w:t> </w:t>
        </w:r>
        <w:r>
          <w:rPr>
            <w:color w:val="6D6E71"/>
            <w:sz w:val="19"/>
          </w:rPr>
          <w:t>2016</w:t>
        </w:r>
      </w:hyperlink>
      <w:r>
        <w:rPr>
          <w:color w:val="231F20"/>
          <w:sz w:val="19"/>
        </w:rPr>
        <w:t>; </w:t>
      </w:r>
      <w:hyperlink w:history="true" w:anchor="_bookmark97">
        <w:r>
          <w:rPr>
            <w:color w:val="6D6E71"/>
            <w:sz w:val="19"/>
          </w:rPr>
          <w:t>Silberstein et al.</w:t>
        </w:r>
      </w:hyperlink>
      <w:r>
        <w:rPr>
          <w:color w:val="6D6E71"/>
          <w:sz w:val="19"/>
        </w:rPr>
        <w:t>, </w:t>
      </w:r>
      <w:hyperlink w:history="true" w:anchor="_bookmark97">
        <w:r>
          <w:rPr>
            <w:color w:val="6D6E71"/>
            <w:sz w:val="19"/>
          </w:rPr>
          <w:t>2016</w:t>
        </w:r>
      </w:hyperlink>
      <w:r>
        <w:rPr>
          <w:color w:val="231F20"/>
          <w:sz w:val="19"/>
        </w:rPr>
        <w:t>). The transcutaneous stimulation uses two surface electrodes and is intermittently </w:t>
      </w:r>
      <w:r>
        <w:rPr>
          <w:color w:val="231F20"/>
          <w:spacing w:val="-3"/>
          <w:sz w:val="19"/>
        </w:rPr>
        <w:t>activated </w:t>
      </w:r>
      <w:r>
        <w:rPr>
          <w:color w:val="231F20"/>
          <w:sz w:val="19"/>
        </w:rPr>
        <w:t>(e.g., GammaCore, electroCore, Inc.), e.g., for 6 stimulation sessions per day for in total 12 min, each session lasting 2</w:t>
      </w:r>
      <w:r>
        <w:rPr>
          <w:color w:val="231F20"/>
          <w:spacing w:val="-19"/>
          <w:sz w:val="19"/>
        </w:rPr>
        <w:t> </w:t>
      </w:r>
      <w:r>
        <w:rPr>
          <w:color w:val="231F20"/>
          <w:sz w:val="19"/>
        </w:rPr>
        <w:t>min. The method is approved for migraine headache and episodic cluster headache, as a preventive and/or acute treatment </w:t>
      </w:r>
      <w:r>
        <w:rPr>
          <w:color w:val="231F20"/>
          <w:spacing w:val="-7"/>
          <w:sz w:val="19"/>
        </w:rPr>
        <w:t>at </w:t>
      </w:r>
      <w:r>
        <w:rPr>
          <w:color w:val="231F20"/>
          <w:sz w:val="19"/>
        </w:rPr>
        <w:t>onset</w:t>
      </w:r>
      <w:r>
        <w:rPr>
          <w:color w:val="231F20"/>
          <w:spacing w:val="-7"/>
          <w:sz w:val="19"/>
        </w:rPr>
        <w:t> </w:t>
      </w:r>
      <w:r>
        <w:rPr>
          <w:color w:val="231F20"/>
          <w:sz w:val="19"/>
        </w:rPr>
        <w:t>of</w:t>
      </w:r>
      <w:r>
        <w:rPr>
          <w:color w:val="231F20"/>
          <w:spacing w:val="-7"/>
          <w:sz w:val="19"/>
        </w:rPr>
        <w:t> </w:t>
      </w:r>
      <w:r>
        <w:rPr>
          <w:color w:val="231F20"/>
          <w:sz w:val="19"/>
        </w:rPr>
        <w:t>attacks.</w:t>
      </w:r>
      <w:r>
        <w:rPr>
          <w:color w:val="231F20"/>
          <w:spacing w:val="-7"/>
          <w:sz w:val="19"/>
        </w:rPr>
        <w:t> </w:t>
      </w:r>
      <w:r>
        <w:rPr>
          <w:color w:val="231F20"/>
          <w:sz w:val="19"/>
        </w:rPr>
        <w:t>In</w:t>
      </w:r>
      <w:r>
        <w:rPr>
          <w:color w:val="231F20"/>
          <w:spacing w:val="-7"/>
          <w:sz w:val="19"/>
        </w:rPr>
        <w:t> </w:t>
      </w:r>
      <w:r>
        <w:rPr>
          <w:color w:val="231F20"/>
          <w:sz w:val="19"/>
        </w:rPr>
        <w:t>order</w:t>
      </w:r>
      <w:r>
        <w:rPr>
          <w:color w:val="231F20"/>
          <w:spacing w:val="-7"/>
          <w:sz w:val="19"/>
        </w:rPr>
        <w:t> </w:t>
      </w:r>
      <w:r>
        <w:rPr>
          <w:color w:val="231F20"/>
          <w:sz w:val="19"/>
        </w:rPr>
        <w:t>to</w:t>
      </w:r>
      <w:r>
        <w:rPr>
          <w:color w:val="231F20"/>
          <w:spacing w:val="-7"/>
          <w:sz w:val="19"/>
        </w:rPr>
        <w:t> </w:t>
      </w:r>
      <w:r>
        <w:rPr>
          <w:color w:val="231F20"/>
          <w:sz w:val="19"/>
        </w:rPr>
        <w:t>stimulate</w:t>
      </w:r>
      <w:r>
        <w:rPr>
          <w:color w:val="231F20"/>
          <w:spacing w:val="-7"/>
          <w:sz w:val="19"/>
        </w:rPr>
        <w:t> </w:t>
      </w:r>
      <w:r>
        <w:rPr>
          <w:color w:val="231F20"/>
          <w:sz w:val="19"/>
        </w:rPr>
        <w:t>VN</w:t>
      </w:r>
      <w:r>
        <w:rPr>
          <w:color w:val="231F20"/>
          <w:spacing w:val="-7"/>
          <w:sz w:val="19"/>
        </w:rPr>
        <w:t> </w:t>
      </w:r>
      <w:r>
        <w:rPr>
          <w:color w:val="231F20"/>
          <w:sz w:val="19"/>
        </w:rPr>
        <w:t>relatively</w:t>
      </w:r>
      <w:r>
        <w:rPr>
          <w:color w:val="231F20"/>
          <w:spacing w:val="-7"/>
          <w:sz w:val="19"/>
        </w:rPr>
        <w:t> </w:t>
      </w:r>
      <w:r>
        <w:rPr>
          <w:color w:val="231F20"/>
          <w:sz w:val="19"/>
        </w:rPr>
        <w:t>deep</w:t>
      </w:r>
      <w:r>
        <w:rPr>
          <w:color w:val="231F20"/>
          <w:spacing w:val="-7"/>
          <w:sz w:val="19"/>
        </w:rPr>
        <w:t> </w:t>
      </w:r>
      <w:r>
        <w:rPr>
          <w:color w:val="231F20"/>
          <w:sz w:val="19"/>
        </w:rPr>
        <w:t>under the neck surface, the stimulation is performed using bipolar bursts of a relatively high frequency of 5 kHz for the </w:t>
      </w:r>
      <w:r>
        <w:rPr>
          <w:color w:val="231F20"/>
          <w:spacing w:val="-4"/>
          <w:sz w:val="19"/>
        </w:rPr>
        <w:t>burst </w:t>
      </w:r>
      <w:r>
        <w:rPr>
          <w:color w:val="231F20"/>
          <w:sz w:val="19"/>
        </w:rPr>
        <w:t>duration</w:t>
      </w:r>
      <w:r>
        <w:rPr>
          <w:color w:val="231F20"/>
          <w:spacing w:val="-5"/>
          <w:sz w:val="19"/>
        </w:rPr>
        <w:t> </w:t>
      </w:r>
      <w:r>
        <w:rPr>
          <w:color w:val="231F20"/>
          <w:sz w:val="19"/>
        </w:rPr>
        <w:t>of</w:t>
      </w:r>
      <w:r>
        <w:rPr>
          <w:color w:val="231F20"/>
          <w:spacing w:val="-4"/>
          <w:sz w:val="19"/>
        </w:rPr>
        <w:t> </w:t>
      </w:r>
      <w:r>
        <w:rPr>
          <w:color w:val="231F20"/>
          <w:sz w:val="19"/>
        </w:rPr>
        <w:t>1</w:t>
      </w:r>
      <w:r>
        <w:rPr>
          <w:color w:val="231F20"/>
          <w:spacing w:val="-4"/>
          <w:sz w:val="19"/>
        </w:rPr>
        <w:t> </w:t>
      </w:r>
      <w:r>
        <w:rPr>
          <w:color w:val="231F20"/>
          <w:sz w:val="19"/>
        </w:rPr>
        <w:t>ms,</w:t>
      </w:r>
      <w:r>
        <w:rPr>
          <w:color w:val="231F20"/>
          <w:spacing w:val="-5"/>
          <w:sz w:val="19"/>
        </w:rPr>
        <w:t> </w:t>
      </w:r>
      <w:r>
        <w:rPr>
          <w:color w:val="231F20"/>
          <w:sz w:val="19"/>
        </w:rPr>
        <w:t>with</w:t>
      </w:r>
      <w:r>
        <w:rPr>
          <w:color w:val="231F20"/>
          <w:spacing w:val="-4"/>
          <w:sz w:val="19"/>
        </w:rPr>
        <w:t> </w:t>
      </w:r>
      <w:r>
        <w:rPr>
          <w:color w:val="231F20"/>
          <w:sz w:val="19"/>
        </w:rPr>
        <w:t>a</w:t>
      </w:r>
      <w:r>
        <w:rPr>
          <w:color w:val="231F20"/>
          <w:spacing w:val="-4"/>
          <w:sz w:val="19"/>
        </w:rPr>
        <w:t> </w:t>
      </w:r>
      <w:r>
        <w:rPr>
          <w:color w:val="231F20"/>
          <w:sz w:val="19"/>
        </w:rPr>
        <w:t>periodic</w:t>
      </w:r>
      <w:r>
        <w:rPr>
          <w:color w:val="231F20"/>
          <w:spacing w:val="-5"/>
          <w:sz w:val="19"/>
        </w:rPr>
        <w:t> </w:t>
      </w:r>
      <w:r>
        <w:rPr>
          <w:color w:val="231F20"/>
          <w:sz w:val="19"/>
        </w:rPr>
        <w:t>bursting</w:t>
      </w:r>
      <w:r>
        <w:rPr>
          <w:color w:val="231F20"/>
          <w:spacing w:val="-4"/>
          <w:sz w:val="19"/>
        </w:rPr>
        <w:t> </w:t>
      </w:r>
      <w:r>
        <w:rPr>
          <w:color w:val="231F20"/>
          <w:sz w:val="19"/>
        </w:rPr>
        <w:t>of</w:t>
      </w:r>
      <w:r>
        <w:rPr>
          <w:color w:val="231F20"/>
          <w:spacing w:val="-4"/>
          <w:sz w:val="19"/>
        </w:rPr>
        <w:t> </w:t>
      </w:r>
      <w:r>
        <w:rPr>
          <w:color w:val="231F20"/>
          <w:sz w:val="19"/>
        </w:rPr>
        <w:t>25</w:t>
      </w:r>
      <w:r>
        <w:rPr>
          <w:color w:val="231F20"/>
          <w:spacing w:val="-4"/>
          <w:sz w:val="19"/>
        </w:rPr>
        <w:t> </w:t>
      </w:r>
      <w:r>
        <w:rPr>
          <w:color w:val="231F20"/>
          <w:sz w:val="19"/>
        </w:rPr>
        <w:t>Hz</w:t>
      </w:r>
      <w:r>
        <w:rPr>
          <w:color w:val="231F20"/>
          <w:spacing w:val="-5"/>
          <w:sz w:val="19"/>
        </w:rPr>
        <w:t> </w:t>
      </w:r>
      <w:r>
        <w:rPr>
          <w:color w:val="231F20"/>
          <w:sz w:val="19"/>
        </w:rPr>
        <w:t>(</w:t>
      </w:r>
      <w:hyperlink w:history="true" w:anchor="_bookmark35">
        <w:r>
          <w:rPr>
            <w:color w:val="6D6E71"/>
            <w:sz w:val="19"/>
          </w:rPr>
          <w:t>Gaul</w:t>
        </w:r>
        <w:r>
          <w:rPr>
            <w:color w:val="6D6E71"/>
            <w:spacing w:val="-4"/>
            <w:sz w:val="19"/>
          </w:rPr>
          <w:t> </w:t>
        </w:r>
        <w:r>
          <w:rPr>
            <w:color w:val="6D6E71"/>
            <w:sz w:val="19"/>
          </w:rPr>
          <w:t>et</w:t>
        </w:r>
        <w:r>
          <w:rPr>
            <w:color w:val="6D6E71"/>
            <w:spacing w:val="-4"/>
            <w:sz w:val="19"/>
          </w:rPr>
          <w:t> </w:t>
        </w:r>
        <w:r>
          <w:rPr>
            <w:color w:val="6D6E71"/>
            <w:sz w:val="19"/>
          </w:rPr>
          <w:t>al.</w:t>
        </w:r>
      </w:hyperlink>
      <w:r>
        <w:rPr>
          <w:color w:val="6D6E71"/>
          <w:sz w:val="19"/>
        </w:rPr>
        <w:t>,</w:t>
      </w:r>
      <w:hyperlink w:history="true" w:anchor="_bookmark35">
        <w:r>
          <w:rPr>
            <w:color w:val="6D6E71"/>
            <w:sz w:val="19"/>
          </w:rPr>
          <w:t> 2016</w:t>
        </w:r>
      </w:hyperlink>
      <w:r>
        <w:rPr>
          <w:color w:val="231F20"/>
          <w:sz w:val="19"/>
        </w:rPr>
        <w:t>). However, relatively strong currents are still required   to circumvent the skin barrier. Since the induced stimulation fields in the neck are diffuse, a co-stimulation of cervical non- vagal nerves and their local endings, as well as unintended recruitment</w:t>
      </w:r>
      <w:r>
        <w:rPr>
          <w:color w:val="231F20"/>
          <w:spacing w:val="-14"/>
          <w:sz w:val="19"/>
        </w:rPr>
        <w:t> </w:t>
      </w:r>
      <w:r>
        <w:rPr>
          <w:color w:val="231F20"/>
          <w:sz w:val="19"/>
        </w:rPr>
        <w:t>of</w:t>
      </w:r>
      <w:r>
        <w:rPr>
          <w:color w:val="231F20"/>
          <w:spacing w:val="-13"/>
          <w:sz w:val="19"/>
        </w:rPr>
        <w:t> </w:t>
      </w:r>
      <w:r>
        <w:rPr>
          <w:color w:val="231F20"/>
          <w:sz w:val="19"/>
        </w:rPr>
        <w:t>efferent</w:t>
      </w:r>
      <w:r>
        <w:rPr>
          <w:color w:val="231F20"/>
          <w:spacing w:val="-14"/>
          <w:sz w:val="19"/>
        </w:rPr>
        <w:t> </w:t>
      </w:r>
      <w:r>
        <w:rPr>
          <w:color w:val="231F20"/>
          <w:sz w:val="19"/>
        </w:rPr>
        <w:t>fibers</w:t>
      </w:r>
      <w:r>
        <w:rPr>
          <w:color w:val="231F20"/>
          <w:spacing w:val="-13"/>
          <w:sz w:val="19"/>
        </w:rPr>
        <w:t> </w:t>
      </w:r>
      <w:r>
        <w:rPr>
          <w:color w:val="231F20"/>
          <w:sz w:val="19"/>
        </w:rPr>
        <w:t>with</w:t>
      </w:r>
      <w:r>
        <w:rPr>
          <w:color w:val="231F20"/>
          <w:spacing w:val="-13"/>
          <w:sz w:val="19"/>
        </w:rPr>
        <w:t> </w:t>
      </w:r>
      <w:r>
        <w:rPr>
          <w:color w:val="231F20"/>
          <w:sz w:val="19"/>
        </w:rPr>
        <w:t>the</w:t>
      </w:r>
      <w:r>
        <w:rPr>
          <w:color w:val="231F20"/>
          <w:spacing w:val="-14"/>
          <w:sz w:val="19"/>
        </w:rPr>
        <w:t> </w:t>
      </w:r>
      <w:r>
        <w:rPr>
          <w:color w:val="231F20"/>
          <w:sz w:val="19"/>
        </w:rPr>
        <w:t>associated</w:t>
      </w:r>
      <w:r>
        <w:rPr>
          <w:color w:val="231F20"/>
          <w:spacing w:val="-13"/>
          <w:sz w:val="19"/>
        </w:rPr>
        <w:t> </w:t>
      </w:r>
      <w:r>
        <w:rPr>
          <w:color w:val="231F20"/>
          <w:sz w:val="19"/>
        </w:rPr>
        <w:t>adverse</w:t>
      </w:r>
      <w:r>
        <w:rPr>
          <w:color w:val="231F20"/>
          <w:spacing w:val="-13"/>
          <w:sz w:val="19"/>
        </w:rPr>
        <w:t> </w:t>
      </w:r>
      <w:r>
        <w:rPr>
          <w:color w:val="231F20"/>
          <w:sz w:val="19"/>
        </w:rPr>
        <w:t>effects can be expected. These side effects are prickling at</w:t>
      </w:r>
      <w:r>
        <w:rPr>
          <w:color w:val="231F20"/>
          <w:spacing w:val="10"/>
          <w:sz w:val="19"/>
        </w:rPr>
        <w:t> </w:t>
      </w:r>
      <w:r>
        <w:rPr>
          <w:color w:val="231F20"/>
          <w:sz w:val="19"/>
        </w:rPr>
        <w:t>stimulation</w:t>
      </w:r>
    </w:p>
    <w:p>
      <w:pPr>
        <w:pStyle w:val="BodyText"/>
        <w:spacing w:line="213" w:lineRule="auto" w:before="107"/>
        <w:ind w:left="354" w:right="155"/>
        <w:jc w:val="both"/>
      </w:pPr>
      <w:r>
        <w:rPr/>
        <w:br w:type="column"/>
      </w:r>
      <w:r>
        <w:rPr>
          <w:color w:val="231F20"/>
        </w:rPr>
        <w:t>site, neck pain, dizziness, headache, nasopharyngitis, and oropharyngeal pain (</w:t>
      </w:r>
      <w:hyperlink w:history="true" w:anchor="_bookmark35">
        <w:r>
          <w:rPr>
            <w:color w:val="6D6E71"/>
          </w:rPr>
          <w:t>Gaul et al.</w:t>
        </w:r>
      </w:hyperlink>
      <w:r>
        <w:rPr>
          <w:color w:val="6D6E71"/>
        </w:rPr>
        <w:t>, </w:t>
      </w:r>
      <w:hyperlink w:history="true" w:anchor="_bookmark35">
        <w:r>
          <w:rPr>
            <w:color w:val="6D6E71"/>
          </w:rPr>
          <w:t>2016</w:t>
        </w:r>
      </w:hyperlink>
      <w:r>
        <w:rPr>
          <w:color w:val="231F20"/>
        </w:rPr>
        <w:t>).</w:t>
      </w:r>
    </w:p>
    <w:p>
      <w:pPr>
        <w:pStyle w:val="ListParagraph"/>
        <w:numPr>
          <w:ilvl w:val="0"/>
          <w:numId w:val="1"/>
        </w:numPr>
        <w:tabs>
          <w:tab w:pos="786" w:val="left" w:leader="none"/>
        </w:tabs>
        <w:spacing w:line="213" w:lineRule="auto" w:before="2" w:after="0"/>
        <w:ind w:left="354" w:right="155" w:firstLine="0"/>
        <w:jc w:val="both"/>
        <w:rPr>
          <w:sz w:val="19"/>
        </w:rPr>
      </w:pPr>
      <w:r>
        <w:rPr>
          <w:color w:val="231F20"/>
          <w:sz w:val="19"/>
        </w:rPr>
        <w:t>The  receptive  field  of   afferent   aVN   endings   </w:t>
      </w:r>
      <w:r>
        <w:rPr>
          <w:color w:val="231F20"/>
          <w:spacing w:val="-4"/>
          <w:sz w:val="19"/>
        </w:rPr>
        <w:t>can   </w:t>
      </w:r>
      <w:r>
        <w:rPr>
          <w:color w:val="231F20"/>
          <w:sz w:val="19"/>
        </w:rPr>
        <w:t>be stimulated via non-invasive surface  skin  electrodes  </w:t>
      </w:r>
      <w:r>
        <w:rPr>
          <w:color w:val="231F20"/>
          <w:spacing w:val="-6"/>
          <w:sz w:val="19"/>
        </w:rPr>
        <w:t>on  </w:t>
      </w:r>
      <w:r>
        <w:rPr>
          <w:color w:val="231F20"/>
          <w:sz w:val="19"/>
        </w:rPr>
        <w:t>the outer </w:t>
      </w:r>
      <w:r>
        <w:rPr>
          <w:color w:val="231F20"/>
          <w:spacing w:val="-4"/>
          <w:sz w:val="19"/>
        </w:rPr>
        <w:t>ear,  </w:t>
      </w:r>
      <w:r>
        <w:rPr>
          <w:color w:val="231F20"/>
          <w:sz w:val="19"/>
        </w:rPr>
        <w:t>known  as  transcutaneous  aVNS  (</w:t>
      </w:r>
      <w:hyperlink w:history="true" w:anchor="_bookmark29">
        <w:r>
          <w:rPr>
            <w:color w:val="6D6E71"/>
            <w:sz w:val="19"/>
          </w:rPr>
          <w:t>Ellrich</w:t>
        </w:r>
      </w:hyperlink>
      <w:r>
        <w:rPr>
          <w:color w:val="6D6E71"/>
          <w:sz w:val="19"/>
        </w:rPr>
        <w:t>,</w:t>
      </w:r>
      <w:hyperlink w:history="true" w:anchor="_bookmark29">
        <w:r>
          <w:rPr>
            <w:color w:val="6D6E71"/>
            <w:sz w:val="19"/>
          </w:rPr>
          <w:t> 2011</w:t>
        </w:r>
      </w:hyperlink>
      <w:r>
        <w:rPr>
          <w:color w:val="231F20"/>
          <w:sz w:val="19"/>
        </w:rPr>
        <w:t>; </w:t>
      </w:r>
      <w:hyperlink w:history="true" w:anchor="_bookmark99">
        <w:r>
          <w:rPr>
            <w:color w:val="6D6E71"/>
            <w:sz w:val="19"/>
          </w:rPr>
          <w:t>Straube et al.</w:t>
        </w:r>
      </w:hyperlink>
      <w:r>
        <w:rPr>
          <w:color w:val="6D6E71"/>
          <w:sz w:val="19"/>
        </w:rPr>
        <w:t>, </w:t>
      </w:r>
      <w:hyperlink w:history="true" w:anchor="_bookmark99">
        <w:r>
          <w:rPr>
            <w:color w:val="6D6E71"/>
            <w:sz w:val="19"/>
          </w:rPr>
          <w:t>2015</w:t>
        </w:r>
      </w:hyperlink>
      <w:r>
        <w:rPr>
          <w:color w:val="231F20"/>
          <w:sz w:val="19"/>
        </w:rPr>
        <w:t>). The transcutaneous  aVNS  </w:t>
      </w:r>
      <w:r>
        <w:rPr>
          <w:color w:val="231F20"/>
          <w:spacing w:val="-6"/>
          <w:sz w:val="19"/>
        </w:rPr>
        <w:t>uses </w:t>
      </w:r>
      <w:r>
        <w:rPr>
          <w:color w:val="231F20"/>
          <w:sz w:val="19"/>
        </w:rPr>
        <w:t>two surface electrodes and is intermittently activated </w:t>
      </w:r>
      <w:r>
        <w:rPr>
          <w:color w:val="231F20"/>
          <w:spacing w:val="-3"/>
          <w:sz w:val="19"/>
        </w:rPr>
        <w:t>(e.g., </w:t>
      </w:r>
      <w:r>
        <w:rPr>
          <w:color w:val="231F20"/>
          <w:sz w:val="19"/>
        </w:rPr>
        <w:t>NEMOS, Cerbomed GmbH), e.g., for 3–4 stimulation </w:t>
      </w:r>
      <w:r>
        <w:rPr>
          <w:color w:val="231F20"/>
          <w:spacing w:val="-3"/>
          <w:sz w:val="19"/>
        </w:rPr>
        <w:t>sessions </w:t>
      </w:r>
      <w:r>
        <w:rPr>
          <w:color w:val="231F20"/>
          <w:sz w:val="19"/>
        </w:rPr>
        <w:t>per</w:t>
      </w:r>
      <w:r>
        <w:rPr>
          <w:color w:val="231F20"/>
          <w:spacing w:val="21"/>
          <w:sz w:val="19"/>
        </w:rPr>
        <w:t> </w:t>
      </w:r>
      <w:r>
        <w:rPr>
          <w:color w:val="231F20"/>
          <w:sz w:val="19"/>
        </w:rPr>
        <w:t>day</w:t>
      </w:r>
      <w:r>
        <w:rPr>
          <w:color w:val="231F20"/>
          <w:spacing w:val="22"/>
          <w:sz w:val="19"/>
        </w:rPr>
        <w:t> </w:t>
      </w:r>
      <w:r>
        <w:rPr>
          <w:color w:val="231F20"/>
          <w:sz w:val="19"/>
        </w:rPr>
        <w:t>for</w:t>
      </w:r>
      <w:r>
        <w:rPr>
          <w:color w:val="231F20"/>
          <w:spacing w:val="21"/>
          <w:sz w:val="19"/>
        </w:rPr>
        <w:t> </w:t>
      </w:r>
      <w:r>
        <w:rPr>
          <w:color w:val="231F20"/>
          <w:sz w:val="19"/>
        </w:rPr>
        <w:t>in</w:t>
      </w:r>
      <w:r>
        <w:rPr>
          <w:color w:val="231F20"/>
          <w:spacing w:val="22"/>
          <w:sz w:val="19"/>
        </w:rPr>
        <w:t> </w:t>
      </w:r>
      <w:r>
        <w:rPr>
          <w:color w:val="231F20"/>
          <w:sz w:val="19"/>
        </w:rPr>
        <w:t>total</w:t>
      </w:r>
      <w:r>
        <w:rPr>
          <w:color w:val="231F20"/>
          <w:spacing w:val="21"/>
          <w:sz w:val="19"/>
        </w:rPr>
        <w:t> </w:t>
      </w:r>
      <w:r>
        <w:rPr>
          <w:color w:val="231F20"/>
          <w:sz w:val="19"/>
        </w:rPr>
        <w:t>4–5</w:t>
      </w:r>
      <w:r>
        <w:rPr>
          <w:color w:val="231F20"/>
          <w:spacing w:val="22"/>
          <w:sz w:val="19"/>
        </w:rPr>
        <w:t> </w:t>
      </w:r>
      <w:r>
        <w:rPr>
          <w:color w:val="231F20"/>
          <w:sz w:val="19"/>
        </w:rPr>
        <w:t>h,</w:t>
      </w:r>
      <w:r>
        <w:rPr>
          <w:color w:val="231F20"/>
          <w:spacing w:val="22"/>
          <w:sz w:val="19"/>
        </w:rPr>
        <w:t> </w:t>
      </w:r>
      <w:r>
        <w:rPr>
          <w:color w:val="231F20"/>
          <w:sz w:val="19"/>
        </w:rPr>
        <w:t>each</w:t>
      </w:r>
      <w:r>
        <w:rPr>
          <w:color w:val="231F20"/>
          <w:spacing w:val="21"/>
          <w:sz w:val="19"/>
        </w:rPr>
        <w:t> </w:t>
      </w:r>
      <w:r>
        <w:rPr>
          <w:color w:val="231F20"/>
          <w:sz w:val="19"/>
        </w:rPr>
        <w:t>session</w:t>
      </w:r>
      <w:r>
        <w:rPr>
          <w:color w:val="231F20"/>
          <w:spacing w:val="22"/>
          <w:sz w:val="19"/>
        </w:rPr>
        <w:t> </w:t>
      </w:r>
      <w:r>
        <w:rPr>
          <w:color w:val="231F20"/>
          <w:sz w:val="19"/>
        </w:rPr>
        <w:t>lasting</w:t>
      </w:r>
      <w:r>
        <w:rPr>
          <w:color w:val="231F20"/>
          <w:spacing w:val="21"/>
          <w:sz w:val="19"/>
        </w:rPr>
        <w:t> </w:t>
      </w:r>
      <w:r>
        <w:rPr>
          <w:color w:val="231F20"/>
          <w:sz w:val="19"/>
        </w:rPr>
        <w:t>at</w:t>
      </w:r>
      <w:r>
        <w:rPr>
          <w:color w:val="231F20"/>
          <w:spacing w:val="22"/>
          <w:sz w:val="19"/>
        </w:rPr>
        <w:t> </w:t>
      </w:r>
      <w:r>
        <w:rPr>
          <w:color w:val="231F20"/>
          <w:sz w:val="19"/>
        </w:rPr>
        <w:t>least</w:t>
      </w:r>
    </w:p>
    <w:p>
      <w:pPr>
        <w:pStyle w:val="BodyText"/>
        <w:spacing w:line="213" w:lineRule="auto" w:before="8"/>
        <w:ind w:left="354" w:right="155"/>
        <w:jc w:val="both"/>
      </w:pPr>
      <w:r>
        <w:rPr>
          <w:color w:val="231F20"/>
        </w:rPr>
        <w:t>1 h.  The  method  is  approved  for  epilepsy,  </w:t>
      </w:r>
      <w:r>
        <w:rPr>
          <w:color w:val="231F20"/>
          <w:spacing w:val="-3"/>
        </w:rPr>
        <w:t>depression, </w:t>
      </w:r>
      <w:r>
        <w:rPr>
          <w:color w:val="231F20"/>
        </w:rPr>
        <w:t>pain, and migraine. Advantageously, only afferent VN </w:t>
      </w:r>
      <w:r>
        <w:rPr>
          <w:color w:val="231F20"/>
          <w:spacing w:val="-3"/>
        </w:rPr>
        <w:t>endings </w:t>
      </w:r>
      <w:r>
        <w:rPr>
          <w:color w:val="231F20"/>
        </w:rPr>
        <w:t>are stimulated, avoiding the aforementioned side effects of the invasive VNS. However, as a possible disadvantage, relatively large surface electrodes yield diffuse stimulation fields. Therefore,</w:t>
      </w:r>
      <w:r>
        <w:rPr>
          <w:color w:val="231F20"/>
          <w:spacing w:val="-11"/>
        </w:rPr>
        <w:t> </w:t>
      </w:r>
      <w:r>
        <w:rPr>
          <w:color w:val="231F20"/>
        </w:rPr>
        <w:t>not</w:t>
      </w:r>
      <w:r>
        <w:rPr>
          <w:color w:val="231F20"/>
          <w:spacing w:val="-11"/>
        </w:rPr>
        <w:t> </w:t>
      </w:r>
      <w:r>
        <w:rPr>
          <w:color w:val="231F20"/>
        </w:rPr>
        <w:t>only</w:t>
      </w:r>
      <w:r>
        <w:rPr>
          <w:color w:val="231F20"/>
          <w:spacing w:val="-11"/>
        </w:rPr>
        <w:t> </w:t>
      </w:r>
      <w:r>
        <w:rPr>
          <w:color w:val="231F20"/>
        </w:rPr>
        <w:t>vagal</w:t>
      </w:r>
      <w:r>
        <w:rPr>
          <w:color w:val="231F20"/>
          <w:spacing w:val="-10"/>
        </w:rPr>
        <w:t> </w:t>
      </w:r>
      <w:r>
        <w:rPr>
          <w:color w:val="231F20"/>
        </w:rPr>
        <w:t>but</w:t>
      </w:r>
      <w:r>
        <w:rPr>
          <w:color w:val="231F20"/>
          <w:spacing w:val="-11"/>
        </w:rPr>
        <w:t> </w:t>
      </w:r>
      <w:r>
        <w:rPr>
          <w:color w:val="231F20"/>
        </w:rPr>
        <w:t>also</w:t>
      </w:r>
      <w:r>
        <w:rPr>
          <w:color w:val="231F20"/>
          <w:spacing w:val="-11"/>
        </w:rPr>
        <w:t> </w:t>
      </w:r>
      <w:r>
        <w:rPr>
          <w:color w:val="231F20"/>
        </w:rPr>
        <w:t>other</w:t>
      </w:r>
      <w:r>
        <w:rPr>
          <w:color w:val="231F20"/>
          <w:spacing w:val="-11"/>
        </w:rPr>
        <w:t> </w:t>
      </w:r>
      <w:r>
        <w:rPr>
          <w:color w:val="231F20"/>
        </w:rPr>
        <w:t>non-vagal</w:t>
      </w:r>
      <w:r>
        <w:rPr>
          <w:color w:val="231F20"/>
          <w:spacing w:val="-10"/>
        </w:rPr>
        <w:t> </w:t>
      </w:r>
      <w:r>
        <w:rPr>
          <w:color w:val="231F20"/>
        </w:rPr>
        <w:t>nerves</w:t>
      </w:r>
      <w:r>
        <w:rPr>
          <w:color w:val="231F20"/>
          <w:spacing w:val="-11"/>
        </w:rPr>
        <w:t> </w:t>
      </w:r>
      <w:r>
        <w:rPr>
          <w:color w:val="231F20"/>
        </w:rPr>
        <w:t>in</w:t>
      </w:r>
      <w:r>
        <w:rPr>
          <w:color w:val="231F20"/>
          <w:spacing w:val="-11"/>
        </w:rPr>
        <w:t> </w:t>
      </w:r>
      <w:r>
        <w:rPr>
          <w:color w:val="231F20"/>
        </w:rPr>
        <w:t>the ear can be expected to be stimulated (</w:t>
      </w:r>
      <w:hyperlink w:history="true" w:anchor="_bookmark1">
        <w:r>
          <w:rPr>
            <w:b/>
            <w:color w:val="231F20"/>
          </w:rPr>
          <w:t>Figure 1A</w:t>
        </w:r>
      </w:hyperlink>
      <w:r>
        <w:rPr>
          <w:color w:val="231F20"/>
        </w:rPr>
        <w:t>), </w:t>
      </w:r>
      <w:r>
        <w:rPr>
          <w:color w:val="231F20"/>
          <w:spacing w:val="-2"/>
        </w:rPr>
        <w:t>implications </w:t>
      </w:r>
      <w:r>
        <w:rPr>
          <w:color w:val="231F20"/>
        </w:rPr>
        <w:t>of which are still controversial (see  Stimulation  Regions).  For instance, psychometric effects of the transcutaneous aVNS were independent on the precise stimulation location (</w:t>
      </w:r>
      <w:hyperlink w:history="true" w:anchor="_bookmark53">
        <w:r>
          <w:rPr>
            <w:color w:val="6D6E71"/>
          </w:rPr>
          <w:t>Kothe</w:t>
        </w:r>
      </w:hyperlink>
      <w:r>
        <w:rPr>
          <w:color w:val="6D6E71"/>
        </w:rPr>
        <w:t>, </w:t>
      </w:r>
      <w:hyperlink w:history="true" w:anchor="_bookmark53">
        <w:r>
          <w:rPr>
            <w:color w:val="6D6E71"/>
          </w:rPr>
          <w:t>2009</w:t>
        </w:r>
      </w:hyperlink>
      <w:r>
        <w:rPr>
          <w:color w:val="231F20"/>
        </w:rPr>
        <w:t>), which highlights the diffuse regime of the transcutaneous aVNS. In addition, relatively strong currents and good electrode contacts are required for the current stimuli to circumvent the skin barrier of the ear and still </w:t>
      </w:r>
      <w:r>
        <w:rPr>
          <w:color w:val="231F20"/>
          <w:spacing w:val="-3"/>
        </w:rPr>
        <w:t>stay </w:t>
      </w:r>
      <w:r>
        <w:rPr>
          <w:color w:val="231F20"/>
        </w:rPr>
        <w:t>suprathreshold in regions innervated by aVN. The</w:t>
      </w:r>
      <w:r>
        <w:rPr>
          <w:color w:val="231F20"/>
          <w:spacing w:val="-21"/>
        </w:rPr>
        <w:t> </w:t>
      </w:r>
      <w:r>
        <w:rPr>
          <w:color w:val="231F20"/>
        </w:rPr>
        <w:t>stimulation is safe (</w:t>
      </w:r>
      <w:hyperlink w:history="true" w:anchor="_bookmark8">
        <w:r>
          <w:rPr>
            <w:color w:val="6D6E71"/>
          </w:rPr>
          <w:t>Badran et al.</w:t>
        </w:r>
      </w:hyperlink>
      <w:r>
        <w:rPr>
          <w:color w:val="6D6E71"/>
        </w:rPr>
        <w:t>, </w:t>
      </w:r>
      <w:hyperlink w:history="true" w:anchor="_bookmark8">
        <w:r>
          <w:rPr>
            <w:color w:val="6D6E71"/>
          </w:rPr>
          <w:t>2018b</w:t>
        </w:r>
      </w:hyperlink>
      <w:r>
        <w:rPr>
          <w:color w:val="231F20"/>
        </w:rPr>
        <w:t>), the remaining side effects are mostly minor – as related to invasive VNS – and may include headache, pain and skin irritation at the stimulation site, and dizziness (</w:t>
      </w:r>
      <w:hyperlink w:history="true" w:anchor="_bookmark64">
        <w:r>
          <w:rPr>
            <w:color w:val="6D6E71"/>
          </w:rPr>
          <w:t>Mertens et al.</w:t>
        </w:r>
      </w:hyperlink>
      <w:r>
        <w:rPr>
          <w:color w:val="6D6E71"/>
        </w:rPr>
        <w:t>,</w:t>
      </w:r>
      <w:r>
        <w:rPr>
          <w:color w:val="6D6E71"/>
          <w:spacing w:val="-1"/>
        </w:rPr>
        <w:t> </w:t>
      </w:r>
      <w:hyperlink w:history="true" w:anchor="_bookmark64">
        <w:r>
          <w:rPr>
            <w:color w:val="6D6E71"/>
          </w:rPr>
          <w:t>2018</w:t>
        </w:r>
      </w:hyperlink>
      <w:r>
        <w:rPr>
          <w:color w:val="231F20"/>
        </w:rPr>
        <w:t>).</w:t>
      </w:r>
    </w:p>
    <w:p>
      <w:pPr>
        <w:spacing w:after="0" w:line="213" w:lineRule="auto"/>
        <w:jc w:val="both"/>
        <w:sectPr>
          <w:type w:val="continuous"/>
          <w:pgSz w:w="11910" w:h="15600"/>
          <w:pgMar w:top="520" w:bottom="780" w:left="740" w:right="740"/>
          <w:cols w:num="2" w:equalWidth="0">
            <w:col w:w="5095" w:space="79"/>
            <w:col w:w="5256"/>
          </w:cols>
        </w:sectPr>
      </w:pPr>
    </w:p>
    <w:p>
      <w:pPr>
        <w:pStyle w:val="BodyText"/>
        <w:spacing w:before="7"/>
        <w:ind w:left="0"/>
      </w:pPr>
    </w:p>
    <w:p>
      <w:pPr>
        <w:spacing w:after="0"/>
        <w:sectPr>
          <w:pgSz w:w="11910" w:h="15600"/>
          <w:pgMar w:header="560" w:footer="588" w:top="840" w:bottom="780" w:left="740" w:right="740"/>
        </w:sectPr>
      </w:pPr>
    </w:p>
    <w:p>
      <w:pPr>
        <w:pStyle w:val="ListParagraph"/>
        <w:numPr>
          <w:ilvl w:val="0"/>
          <w:numId w:val="1"/>
        </w:numPr>
        <w:tabs>
          <w:tab w:pos="723" w:val="left" w:leader="none"/>
        </w:tabs>
        <w:spacing w:line="213" w:lineRule="auto" w:before="107" w:after="0"/>
        <w:ind w:left="354" w:right="0" w:firstLine="0"/>
        <w:jc w:val="both"/>
        <w:rPr>
          <w:sz w:val="19"/>
        </w:rPr>
      </w:pPr>
      <w:r>
        <w:rPr>
          <w:color w:val="231F20"/>
          <w:sz w:val="19"/>
        </w:rPr>
        <w:t>A percutaneous minimally invasive  aVNS  </w:t>
      </w:r>
      <w:r>
        <w:rPr>
          <w:color w:val="231F20"/>
          <w:spacing w:val="-3"/>
          <w:sz w:val="19"/>
        </w:rPr>
        <w:t>(</w:t>
      </w:r>
      <w:hyperlink w:history="true" w:anchor="_bookmark44">
        <w:r>
          <w:rPr>
            <w:color w:val="6D6E71"/>
            <w:spacing w:val="-3"/>
            <w:sz w:val="19"/>
          </w:rPr>
          <w:t>Kampusch</w:t>
        </w:r>
      </w:hyperlink>
      <w:r>
        <w:rPr>
          <w:color w:val="6D6E71"/>
          <w:spacing w:val="-3"/>
          <w:sz w:val="19"/>
        </w:rPr>
        <w:t> </w:t>
      </w:r>
      <w:hyperlink w:history="true" w:anchor="_bookmark44">
        <w:r>
          <w:rPr>
            <w:color w:val="6D6E71"/>
            <w:spacing w:val="-3"/>
            <w:sz w:val="19"/>
          </w:rPr>
          <w:t> </w:t>
        </w:r>
        <w:r>
          <w:rPr>
            <w:color w:val="6D6E71"/>
            <w:sz w:val="19"/>
          </w:rPr>
          <w:t>et</w:t>
        </w:r>
        <w:r>
          <w:rPr>
            <w:color w:val="6D6E71"/>
            <w:spacing w:val="-5"/>
            <w:sz w:val="19"/>
          </w:rPr>
          <w:t> </w:t>
        </w:r>
        <w:r>
          <w:rPr>
            <w:color w:val="6D6E71"/>
            <w:sz w:val="19"/>
          </w:rPr>
          <w:t>al.</w:t>
        </w:r>
      </w:hyperlink>
      <w:r>
        <w:rPr>
          <w:color w:val="6D6E71"/>
          <w:sz w:val="19"/>
        </w:rPr>
        <w:t>,</w:t>
      </w:r>
      <w:r>
        <w:rPr>
          <w:color w:val="6D6E71"/>
          <w:spacing w:val="-4"/>
          <w:sz w:val="19"/>
        </w:rPr>
        <w:t> </w:t>
      </w:r>
      <w:hyperlink w:history="true" w:anchor="_bookmark44">
        <w:r>
          <w:rPr>
            <w:color w:val="6D6E71"/>
            <w:sz w:val="19"/>
          </w:rPr>
          <w:t>2013</w:t>
        </w:r>
      </w:hyperlink>
      <w:r>
        <w:rPr>
          <w:color w:val="231F20"/>
          <w:sz w:val="19"/>
        </w:rPr>
        <w:t>)</w:t>
      </w:r>
      <w:r>
        <w:rPr>
          <w:color w:val="231F20"/>
          <w:spacing w:val="-5"/>
          <w:sz w:val="19"/>
        </w:rPr>
        <w:t> </w:t>
      </w:r>
      <w:r>
        <w:rPr>
          <w:color w:val="231F20"/>
          <w:sz w:val="19"/>
        </w:rPr>
        <w:t>can</w:t>
      </w:r>
      <w:r>
        <w:rPr>
          <w:color w:val="231F20"/>
          <w:spacing w:val="-4"/>
          <w:sz w:val="19"/>
        </w:rPr>
        <w:t> </w:t>
      </w:r>
      <w:r>
        <w:rPr>
          <w:color w:val="231F20"/>
          <w:sz w:val="19"/>
        </w:rPr>
        <w:t>be</w:t>
      </w:r>
      <w:r>
        <w:rPr>
          <w:color w:val="231F20"/>
          <w:spacing w:val="-4"/>
          <w:sz w:val="19"/>
        </w:rPr>
        <w:t> </w:t>
      </w:r>
      <w:r>
        <w:rPr>
          <w:color w:val="231F20"/>
          <w:sz w:val="19"/>
        </w:rPr>
        <w:t>performed</w:t>
      </w:r>
      <w:r>
        <w:rPr>
          <w:color w:val="231F20"/>
          <w:spacing w:val="-5"/>
          <w:sz w:val="19"/>
        </w:rPr>
        <w:t> </w:t>
      </w:r>
      <w:r>
        <w:rPr>
          <w:color w:val="231F20"/>
          <w:sz w:val="19"/>
        </w:rPr>
        <w:t>with</w:t>
      </w:r>
      <w:r>
        <w:rPr>
          <w:color w:val="231F20"/>
          <w:spacing w:val="-4"/>
          <w:sz w:val="19"/>
        </w:rPr>
        <w:t> </w:t>
      </w:r>
      <w:r>
        <w:rPr>
          <w:color w:val="231F20"/>
          <w:sz w:val="19"/>
        </w:rPr>
        <w:t>miniature</w:t>
      </w:r>
      <w:r>
        <w:rPr>
          <w:color w:val="231F20"/>
          <w:spacing w:val="-5"/>
          <w:sz w:val="19"/>
        </w:rPr>
        <w:t> </w:t>
      </w:r>
      <w:r>
        <w:rPr>
          <w:color w:val="231F20"/>
          <w:sz w:val="19"/>
        </w:rPr>
        <w:t>needle</w:t>
      </w:r>
      <w:r>
        <w:rPr>
          <w:color w:val="231F20"/>
          <w:spacing w:val="-4"/>
          <w:sz w:val="19"/>
        </w:rPr>
        <w:t> </w:t>
      </w:r>
      <w:r>
        <w:rPr>
          <w:color w:val="231F20"/>
          <w:spacing w:val="-3"/>
          <w:sz w:val="19"/>
        </w:rPr>
        <w:t>electrodes </w:t>
      </w:r>
      <w:r>
        <w:rPr>
          <w:color w:val="231F20"/>
          <w:sz w:val="19"/>
        </w:rPr>
        <w:t>penetrating the skin in the targeted outer ear regions innervated</w:t>
      </w:r>
      <w:r>
        <w:rPr>
          <w:color w:val="231F20"/>
          <w:spacing w:val="-8"/>
          <w:sz w:val="19"/>
        </w:rPr>
        <w:t> </w:t>
      </w:r>
      <w:r>
        <w:rPr>
          <w:color w:val="231F20"/>
          <w:sz w:val="19"/>
        </w:rPr>
        <w:t>mainly</w:t>
      </w:r>
      <w:r>
        <w:rPr>
          <w:color w:val="231F20"/>
          <w:spacing w:val="-8"/>
          <w:sz w:val="19"/>
        </w:rPr>
        <w:t> </w:t>
      </w:r>
      <w:r>
        <w:rPr>
          <w:color w:val="231F20"/>
          <w:sz w:val="19"/>
        </w:rPr>
        <w:t>by</w:t>
      </w:r>
      <w:r>
        <w:rPr>
          <w:color w:val="231F20"/>
          <w:spacing w:val="-8"/>
          <w:sz w:val="19"/>
        </w:rPr>
        <w:t> </w:t>
      </w:r>
      <w:r>
        <w:rPr>
          <w:color w:val="231F20"/>
          <w:sz w:val="19"/>
        </w:rPr>
        <w:t>aVN</w:t>
      </w:r>
      <w:r>
        <w:rPr>
          <w:color w:val="231F20"/>
          <w:spacing w:val="-7"/>
          <w:sz w:val="19"/>
        </w:rPr>
        <w:t> </w:t>
      </w:r>
      <w:r>
        <w:rPr>
          <w:color w:val="231F20"/>
          <w:sz w:val="19"/>
        </w:rPr>
        <w:t>(</w:t>
      </w:r>
      <w:hyperlink w:history="true" w:anchor="_bookmark1">
        <w:r>
          <w:rPr>
            <w:b/>
            <w:color w:val="231F20"/>
            <w:sz w:val="19"/>
          </w:rPr>
          <w:t>Figure</w:t>
        </w:r>
        <w:r>
          <w:rPr>
            <w:b/>
            <w:color w:val="231F20"/>
            <w:spacing w:val="-8"/>
            <w:sz w:val="19"/>
          </w:rPr>
          <w:t> </w:t>
        </w:r>
        <w:r>
          <w:rPr>
            <w:b/>
            <w:color w:val="231F20"/>
            <w:sz w:val="19"/>
          </w:rPr>
          <w:t>1</w:t>
        </w:r>
      </w:hyperlink>
      <w:r>
        <w:rPr>
          <w:color w:val="231F20"/>
          <w:sz w:val="19"/>
        </w:rPr>
        <w:t>).</w:t>
      </w:r>
      <w:r>
        <w:rPr>
          <w:color w:val="231F20"/>
          <w:spacing w:val="-8"/>
          <w:sz w:val="19"/>
        </w:rPr>
        <w:t> </w:t>
      </w:r>
      <w:r>
        <w:rPr>
          <w:color w:val="231F20"/>
          <w:sz w:val="19"/>
        </w:rPr>
        <w:t>The</w:t>
      </w:r>
      <w:r>
        <w:rPr>
          <w:color w:val="231F20"/>
          <w:spacing w:val="-7"/>
          <w:sz w:val="19"/>
        </w:rPr>
        <w:t> </w:t>
      </w:r>
      <w:r>
        <w:rPr>
          <w:color w:val="231F20"/>
          <w:sz w:val="19"/>
        </w:rPr>
        <w:t>percutaneous</w:t>
      </w:r>
      <w:r>
        <w:rPr>
          <w:color w:val="231F20"/>
          <w:spacing w:val="-8"/>
          <w:sz w:val="19"/>
        </w:rPr>
        <w:t> </w:t>
      </w:r>
      <w:r>
        <w:rPr>
          <w:color w:val="231F20"/>
          <w:spacing w:val="-4"/>
          <w:sz w:val="19"/>
        </w:rPr>
        <w:t>aVNS </w:t>
      </w:r>
      <w:r>
        <w:rPr>
          <w:color w:val="231F20"/>
          <w:sz w:val="19"/>
        </w:rPr>
        <w:t>typically uses 2–3 needle electrodes and is also intermittently activated (e.g., AuriStim or P-Stim, Multisana GmbH). </w:t>
      </w:r>
      <w:r>
        <w:rPr>
          <w:color w:val="231F20"/>
          <w:spacing w:val="-4"/>
          <w:sz w:val="19"/>
        </w:rPr>
        <w:t>For </w:t>
      </w:r>
      <w:r>
        <w:rPr>
          <w:color w:val="231F20"/>
          <w:sz w:val="19"/>
        </w:rPr>
        <w:t>instance, an automatic duty cycle of 3 h ON and 3 h </w:t>
      </w:r>
      <w:r>
        <w:rPr>
          <w:color w:val="231F20"/>
          <w:spacing w:val="-4"/>
          <w:sz w:val="19"/>
        </w:rPr>
        <w:t>OFF   </w:t>
      </w:r>
      <w:r>
        <w:rPr>
          <w:color w:val="231F20"/>
          <w:sz w:val="19"/>
        </w:rPr>
        <w:t>lasts for over 1 week, with a net stimulation time of 12 </w:t>
      </w:r>
      <w:r>
        <w:rPr>
          <w:color w:val="231F20"/>
          <w:spacing w:val="-12"/>
          <w:sz w:val="19"/>
        </w:rPr>
        <w:t>h         </w:t>
      </w:r>
      <w:r>
        <w:rPr>
          <w:color w:val="231F20"/>
          <w:sz w:val="19"/>
        </w:rPr>
        <w:t>per 24 h. Thus, the percutaneous aVNS shows the longest net stimulation</w:t>
      </w:r>
      <w:r>
        <w:rPr>
          <w:color w:val="231F20"/>
          <w:spacing w:val="-8"/>
          <w:sz w:val="19"/>
        </w:rPr>
        <w:t> </w:t>
      </w:r>
      <w:r>
        <w:rPr>
          <w:color w:val="231F20"/>
          <w:sz w:val="19"/>
        </w:rPr>
        <w:t>time</w:t>
      </w:r>
      <w:r>
        <w:rPr>
          <w:color w:val="231F20"/>
          <w:spacing w:val="-7"/>
          <w:sz w:val="19"/>
        </w:rPr>
        <w:t> </w:t>
      </w:r>
      <w:r>
        <w:rPr>
          <w:color w:val="231F20"/>
          <w:sz w:val="19"/>
        </w:rPr>
        <w:t>per</w:t>
      </w:r>
      <w:r>
        <w:rPr>
          <w:color w:val="231F20"/>
          <w:spacing w:val="-7"/>
          <w:sz w:val="19"/>
        </w:rPr>
        <w:t> </w:t>
      </w:r>
      <w:r>
        <w:rPr>
          <w:color w:val="231F20"/>
          <w:sz w:val="19"/>
        </w:rPr>
        <w:t>day</w:t>
      </w:r>
      <w:r>
        <w:rPr>
          <w:color w:val="231F20"/>
          <w:spacing w:val="-7"/>
          <w:sz w:val="19"/>
        </w:rPr>
        <w:t> </w:t>
      </w:r>
      <w:r>
        <w:rPr>
          <w:color w:val="231F20"/>
          <w:sz w:val="19"/>
        </w:rPr>
        <w:t>when</w:t>
      </w:r>
      <w:r>
        <w:rPr>
          <w:color w:val="231F20"/>
          <w:spacing w:val="-7"/>
          <w:sz w:val="19"/>
        </w:rPr>
        <w:t> </w:t>
      </w:r>
      <w:r>
        <w:rPr>
          <w:color w:val="231F20"/>
          <w:sz w:val="19"/>
        </w:rPr>
        <w:t>compared</w:t>
      </w:r>
      <w:r>
        <w:rPr>
          <w:color w:val="231F20"/>
          <w:spacing w:val="-7"/>
          <w:sz w:val="19"/>
        </w:rPr>
        <w:t> </w:t>
      </w:r>
      <w:r>
        <w:rPr>
          <w:color w:val="231F20"/>
          <w:sz w:val="19"/>
        </w:rPr>
        <w:t>with</w:t>
      </w:r>
      <w:r>
        <w:rPr>
          <w:color w:val="231F20"/>
          <w:spacing w:val="-7"/>
          <w:sz w:val="19"/>
        </w:rPr>
        <w:t> </w:t>
      </w:r>
      <w:r>
        <w:rPr>
          <w:color w:val="231F20"/>
          <w:sz w:val="19"/>
        </w:rPr>
        <w:t>the</w:t>
      </w:r>
      <w:r>
        <w:rPr>
          <w:color w:val="231F20"/>
          <w:spacing w:val="-7"/>
          <w:sz w:val="19"/>
        </w:rPr>
        <w:t> </w:t>
      </w:r>
      <w:r>
        <w:rPr>
          <w:color w:val="231F20"/>
          <w:sz w:val="19"/>
        </w:rPr>
        <w:t>invasive</w:t>
      </w:r>
      <w:r>
        <w:rPr>
          <w:color w:val="231F20"/>
          <w:spacing w:val="-7"/>
          <w:sz w:val="19"/>
        </w:rPr>
        <w:t> </w:t>
      </w:r>
      <w:r>
        <w:rPr>
          <w:color w:val="231F20"/>
          <w:spacing w:val="-5"/>
          <w:sz w:val="19"/>
        </w:rPr>
        <w:t>and </w:t>
      </w:r>
      <w:r>
        <w:rPr>
          <w:color w:val="231F20"/>
          <w:sz w:val="19"/>
        </w:rPr>
        <w:t>transcutaneous aVNS. The percutaneous aVNS is approved for chronic cervical pain, chronic low back pain, migraine, acute postoperative pain, and pain due to peripheral arterial occlusive</w:t>
      </w:r>
      <w:r>
        <w:rPr>
          <w:color w:val="231F20"/>
          <w:spacing w:val="-1"/>
          <w:sz w:val="19"/>
        </w:rPr>
        <w:t> </w:t>
      </w:r>
      <w:r>
        <w:rPr>
          <w:color w:val="231F20"/>
          <w:sz w:val="19"/>
        </w:rPr>
        <w:t>disease.</w:t>
      </w:r>
    </w:p>
    <w:p>
      <w:pPr>
        <w:pStyle w:val="BodyText"/>
        <w:spacing w:line="213" w:lineRule="auto" w:before="9"/>
        <w:ind w:left="354" w:firstLine="194"/>
        <w:jc w:val="both"/>
      </w:pPr>
      <w:r>
        <w:rPr>
          <w:color w:val="231F20"/>
        </w:rPr>
        <w:t>In contrast to  the  transcutaneous  aVNS,  the  small  </w:t>
      </w:r>
      <w:r>
        <w:rPr>
          <w:color w:val="231F20"/>
          <w:spacing w:val="-4"/>
        </w:rPr>
        <w:t>size</w:t>
      </w:r>
      <w:r>
        <w:rPr>
          <w:color w:val="231F20"/>
          <w:spacing w:val="35"/>
        </w:rPr>
        <w:t> </w:t>
      </w:r>
      <w:r>
        <w:rPr>
          <w:color w:val="231F20"/>
        </w:rPr>
        <w:t>of needle electrodes and the resulting spatially </w:t>
      </w:r>
      <w:r>
        <w:rPr>
          <w:color w:val="231F20"/>
          <w:spacing w:val="-4"/>
        </w:rPr>
        <w:t>focussed </w:t>
      </w:r>
      <w:r>
        <w:rPr>
          <w:color w:val="231F20"/>
        </w:rPr>
        <w:t>stimulating fields favor precise and specific stimulation of </w:t>
      </w:r>
      <w:r>
        <w:rPr>
          <w:color w:val="231F20"/>
          <w:spacing w:val="-4"/>
        </w:rPr>
        <w:t>the </w:t>
      </w:r>
      <w:r>
        <w:rPr>
          <w:color w:val="231F20"/>
        </w:rPr>
        <w:t>local afferent aVN endings, which avoids diffuse </w:t>
      </w:r>
      <w:r>
        <w:rPr>
          <w:color w:val="231F20"/>
          <w:spacing w:val="-2"/>
        </w:rPr>
        <w:t>stimulation. </w:t>
      </w:r>
      <w:r>
        <w:rPr>
          <w:color w:val="231F20"/>
        </w:rPr>
        <w:t>In addition, electrode contact impedance is lower and </w:t>
      </w:r>
      <w:r>
        <w:rPr>
          <w:color w:val="231F20"/>
          <w:spacing w:val="-4"/>
        </w:rPr>
        <w:t>more </w:t>
      </w:r>
      <w:r>
        <w:rPr>
          <w:color w:val="231F20"/>
        </w:rPr>
        <w:t>reproducible, favoring an energy-efficient stimulation. </w:t>
      </w:r>
      <w:r>
        <w:rPr>
          <w:color w:val="231F20"/>
          <w:spacing w:val="-3"/>
        </w:rPr>
        <w:t>Minor </w:t>
      </w:r>
      <w:r>
        <w:rPr>
          <w:color w:val="231F20"/>
        </w:rPr>
        <w:t>side effects of the percutaneous aVNS are local skin irritation (dermatitis), local bleeding, pain  at  the  stimulation  </w:t>
      </w:r>
      <w:r>
        <w:rPr>
          <w:color w:val="231F20"/>
          <w:spacing w:val="-5"/>
        </w:rPr>
        <w:t>side,  </w:t>
      </w:r>
      <w:r>
        <w:rPr>
          <w:color w:val="231F20"/>
        </w:rPr>
        <w:t>and dizziness. The clinical incidence of skin irritation </w:t>
      </w:r>
      <w:r>
        <w:rPr>
          <w:color w:val="231F20"/>
          <w:spacing w:val="-6"/>
        </w:rPr>
        <w:t>and </w:t>
      </w:r>
      <w:r>
        <w:rPr>
          <w:color w:val="231F20"/>
        </w:rPr>
        <w:t>inadvertent bleeding can be reduced down to only </w:t>
      </w:r>
      <w:r>
        <w:rPr>
          <w:color w:val="231F20"/>
          <w:spacing w:val="-4"/>
        </w:rPr>
        <w:t>0.05% </w:t>
      </w:r>
      <w:r>
        <w:rPr>
          <w:color w:val="231F20"/>
        </w:rPr>
        <w:t>using a transillumination technique of the </w:t>
      </w:r>
      <w:r>
        <w:rPr>
          <w:color w:val="231F20"/>
          <w:spacing w:val="-4"/>
        </w:rPr>
        <w:t>ear, </w:t>
      </w:r>
      <w:r>
        <w:rPr>
          <w:color w:val="231F20"/>
        </w:rPr>
        <w:t>which</w:t>
      </w:r>
      <w:r>
        <w:rPr>
          <w:color w:val="231F20"/>
          <w:spacing w:val="-24"/>
        </w:rPr>
        <w:t> </w:t>
      </w:r>
      <w:r>
        <w:rPr>
          <w:color w:val="231F20"/>
          <w:spacing w:val="-3"/>
        </w:rPr>
        <w:t>visualizes </w:t>
      </w:r>
      <w:r>
        <w:rPr>
          <w:color w:val="231F20"/>
        </w:rPr>
        <w:t>auricular vessels to avoid random placement of needles </w:t>
      </w:r>
      <w:r>
        <w:rPr>
          <w:color w:val="231F20"/>
          <w:spacing w:val="-5"/>
        </w:rPr>
        <w:t>and </w:t>
      </w:r>
      <w:r>
        <w:rPr>
          <w:color w:val="231F20"/>
        </w:rPr>
        <w:t>thus reduces the potential of bleeding (</w:t>
      </w:r>
      <w:hyperlink w:history="true" w:anchor="_bookmark45">
        <w:r>
          <w:rPr>
            <w:color w:val="6D6E71"/>
          </w:rPr>
          <w:t>Kampusch et al.</w:t>
        </w:r>
      </w:hyperlink>
      <w:r>
        <w:rPr>
          <w:color w:val="6D6E71"/>
        </w:rPr>
        <w:t>, </w:t>
      </w:r>
      <w:hyperlink w:history="true" w:anchor="_bookmark45">
        <w:r>
          <w:rPr>
            <w:color w:val="6D6E71"/>
            <w:spacing w:val="-4"/>
          </w:rPr>
          <w:t>2016</w:t>
        </w:r>
      </w:hyperlink>
      <w:r>
        <w:rPr>
          <w:color w:val="231F20"/>
          <w:spacing w:val="-4"/>
        </w:rPr>
        <w:t>; </w:t>
      </w:r>
      <w:hyperlink w:history="true" w:anchor="_bookmark84">
        <w:r>
          <w:rPr>
            <w:color w:val="6D6E71"/>
          </w:rPr>
          <w:t>Roberts et al.</w:t>
        </w:r>
      </w:hyperlink>
      <w:r>
        <w:rPr>
          <w:color w:val="6D6E71"/>
        </w:rPr>
        <w:t>, </w:t>
      </w:r>
      <w:hyperlink w:history="true" w:anchor="_bookmark84">
        <w:r>
          <w:rPr>
            <w:color w:val="6D6E71"/>
          </w:rPr>
          <w:t>2016</w:t>
        </w:r>
      </w:hyperlink>
      <w:r>
        <w:rPr>
          <w:color w:val="231F20"/>
        </w:rPr>
        <w:t>). Although stimulation devices use needle electrodes and have to be worn over several days, more than 80% of patients are greatly satisfied with this treatment</w:t>
      </w:r>
      <w:r>
        <w:rPr>
          <w:color w:val="231F20"/>
          <w:spacing w:val="20"/>
        </w:rPr>
        <w:t> </w:t>
      </w:r>
      <w:r>
        <w:rPr>
          <w:color w:val="231F20"/>
          <w:spacing w:val="-6"/>
        </w:rPr>
        <w:t>in </w:t>
      </w:r>
      <w:r>
        <w:rPr>
          <w:color w:val="231F20"/>
        </w:rPr>
        <w:t>terms of their subjective perception on life quality, with </w:t>
      </w:r>
      <w:r>
        <w:rPr>
          <w:color w:val="231F20"/>
          <w:spacing w:val="-4"/>
        </w:rPr>
        <w:t>absent </w:t>
      </w:r>
      <w:r>
        <w:rPr>
          <w:color w:val="231F20"/>
        </w:rPr>
        <w:t>or only minor adverse effects (</w:t>
      </w:r>
      <w:hyperlink w:history="true" w:anchor="_bookmark45">
        <w:r>
          <w:rPr>
            <w:color w:val="6D6E71"/>
          </w:rPr>
          <w:t>Kampusch et al.</w:t>
        </w:r>
      </w:hyperlink>
      <w:r>
        <w:rPr>
          <w:color w:val="6D6E71"/>
        </w:rPr>
        <w:t>,</w:t>
      </w:r>
      <w:r>
        <w:rPr>
          <w:color w:val="6D6E71"/>
          <w:spacing w:val="-5"/>
        </w:rPr>
        <w:t> </w:t>
      </w:r>
      <w:hyperlink w:history="true" w:anchor="_bookmark45">
        <w:r>
          <w:rPr>
            <w:color w:val="6D6E71"/>
          </w:rPr>
          <w:t>2016</w:t>
        </w:r>
      </w:hyperlink>
      <w:r>
        <w:rPr>
          <w:color w:val="231F20"/>
        </w:rPr>
        <w:t>).</w:t>
      </w:r>
    </w:p>
    <w:p>
      <w:pPr>
        <w:pStyle w:val="BodyText"/>
        <w:spacing w:before="4"/>
        <w:ind w:left="0"/>
        <w:rPr>
          <w:sz w:val="18"/>
        </w:rPr>
      </w:pPr>
    </w:p>
    <w:p>
      <w:pPr>
        <w:pStyle w:val="BodyText"/>
        <w:spacing w:line="213" w:lineRule="auto"/>
        <w:ind w:firstLine="229"/>
        <w:jc w:val="both"/>
      </w:pPr>
      <w:r>
        <w:rPr>
          <w:color w:val="231F20"/>
        </w:rPr>
        <w:t>A few indirect but rather seldom effects  can  also  be triggered by aVNS due to afferent-efferent vagal reflexes with the vagal nucleus,  NTS,  as  a  potential  intermediate  stage.  The Arnolds  ear-cough  reflex  is  the  most  dominant  reflex,  in which mechanical irritation/palpation of the auricular </w:t>
      </w:r>
      <w:r>
        <w:rPr>
          <w:color w:val="231F20"/>
          <w:spacing w:val="-4"/>
        </w:rPr>
        <w:t>skin </w:t>
      </w:r>
      <w:r>
        <w:rPr>
          <w:color w:val="231F20"/>
        </w:rPr>
        <w:t>with embedded aVN may cause cough. There are also other reflexes as ear-gag reflex, ear-lacrimation reflex, ear-syncope reflex (known also as auriculo-cardiac reflex), and vaso-vagal reflex. These vegetative reflexes or reactions can occur with a delay of a few seconds (</w:t>
      </w:r>
      <w:hyperlink w:history="true" w:anchor="_bookmark104">
        <w:r>
          <w:rPr>
            <w:color w:val="6D6E71"/>
          </w:rPr>
          <w:t>Tekdemir et al.</w:t>
        </w:r>
      </w:hyperlink>
      <w:r>
        <w:rPr>
          <w:color w:val="6D6E71"/>
        </w:rPr>
        <w:t>, </w:t>
      </w:r>
      <w:hyperlink w:history="true" w:anchor="_bookmark104">
        <w:r>
          <w:rPr>
            <w:color w:val="6D6E71"/>
          </w:rPr>
          <w:t>1998</w:t>
        </w:r>
      </w:hyperlink>
      <w:r>
        <w:rPr>
          <w:color w:val="231F20"/>
        </w:rPr>
        <w:t>) and with </w:t>
      </w:r>
      <w:r>
        <w:rPr>
          <w:color w:val="231F20"/>
          <w:spacing w:val="-4"/>
        </w:rPr>
        <w:t>the </w:t>
      </w:r>
      <w:r>
        <w:rPr>
          <w:color w:val="231F20"/>
        </w:rPr>
        <w:t>respective</w:t>
      </w:r>
      <w:r>
        <w:rPr>
          <w:color w:val="231F20"/>
          <w:spacing w:val="-8"/>
        </w:rPr>
        <w:t> </w:t>
      </w:r>
      <w:r>
        <w:rPr>
          <w:color w:val="231F20"/>
        </w:rPr>
        <w:t>incidence</w:t>
      </w:r>
      <w:r>
        <w:rPr>
          <w:color w:val="231F20"/>
          <w:spacing w:val="-8"/>
        </w:rPr>
        <w:t> </w:t>
      </w:r>
      <w:r>
        <w:rPr>
          <w:color w:val="231F20"/>
        </w:rPr>
        <w:t>up</w:t>
      </w:r>
      <w:r>
        <w:rPr>
          <w:color w:val="231F20"/>
          <w:spacing w:val="-7"/>
        </w:rPr>
        <w:t> </w:t>
      </w:r>
      <w:r>
        <w:rPr>
          <w:color w:val="231F20"/>
        </w:rPr>
        <w:t>to</w:t>
      </w:r>
      <w:r>
        <w:rPr>
          <w:color w:val="231F20"/>
          <w:spacing w:val="-8"/>
        </w:rPr>
        <w:t> </w:t>
      </w:r>
      <w:r>
        <w:rPr>
          <w:color w:val="231F20"/>
        </w:rPr>
        <w:t>a</w:t>
      </w:r>
      <w:r>
        <w:rPr>
          <w:color w:val="231F20"/>
          <w:spacing w:val="-7"/>
        </w:rPr>
        <w:t> </w:t>
      </w:r>
      <w:r>
        <w:rPr>
          <w:color w:val="231F20"/>
        </w:rPr>
        <w:t>few</w:t>
      </w:r>
      <w:r>
        <w:rPr>
          <w:color w:val="231F20"/>
          <w:spacing w:val="-8"/>
        </w:rPr>
        <w:t> </w:t>
      </w:r>
      <w:r>
        <w:rPr>
          <w:color w:val="231F20"/>
        </w:rPr>
        <w:t>percent</w:t>
      </w:r>
      <w:r>
        <w:rPr>
          <w:color w:val="231F20"/>
          <w:spacing w:val="-7"/>
        </w:rPr>
        <w:t> </w:t>
      </w:r>
      <w:r>
        <w:rPr>
          <w:color w:val="231F20"/>
        </w:rPr>
        <w:t>in</w:t>
      </w:r>
      <w:r>
        <w:rPr>
          <w:color w:val="231F20"/>
          <w:spacing w:val="-8"/>
        </w:rPr>
        <w:t> </w:t>
      </w:r>
      <w:r>
        <w:rPr>
          <w:color w:val="231F20"/>
        </w:rPr>
        <w:t>the</w:t>
      </w:r>
      <w:r>
        <w:rPr>
          <w:color w:val="231F20"/>
          <w:spacing w:val="-8"/>
        </w:rPr>
        <w:t> </w:t>
      </w:r>
      <w:r>
        <w:rPr>
          <w:color w:val="231F20"/>
        </w:rPr>
        <w:t>general</w:t>
      </w:r>
      <w:r>
        <w:rPr>
          <w:color w:val="231F20"/>
          <w:spacing w:val="-7"/>
        </w:rPr>
        <w:t> </w:t>
      </w:r>
      <w:r>
        <w:rPr>
          <w:color w:val="231F20"/>
        </w:rPr>
        <w:t>population (</w:t>
      </w:r>
      <w:hyperlink w:history="true" w:anchor="_bookmark104">
        <w:r>
          <w:rPr>
            <w:color w:val="6D6E71"/>
          </w:rPr>
          <w:t>Tekdemir et al.</w:t>
        </w:r>
      </w:hyperlink>
      <w:r>
        <w:rPr>
          <w:color w:val="6D6E71"/>
        </w:rPr>
        <w:t>, </w:t>
      </w:r>
      <w:hyperlink w:history="true" w:anchor="_bookmark104">
        <w:r>
          <w:rPr>
            <w:color w:val="6D6E71"/>
          </w:rPr>
          <w:t>1998</w:t>
        </w:r>
      </w:hyperlink>
      <w:r>
        <w:rPr>
          <w:color w:val="231F20"/>
        </w:rPr>
        <w:t>; </w:t>
      </w:r>
      <w:hyperlink w:history="true" w:anchor="_bookmark29">
        <w:r>
          <w:rPr>
            <w:color w:val="6D6E71"/>
          </w:rPr>
          <w:t>Ellrich</w:t>
        </w:r>
      </w:hyperlink>
      <w:r>
        <w:rPr>
          <w:color w:val="6D6E71"/>
        </w:rPr>
        <w:t>, </w:t>
      </w:r>
      <w:hyperlink w:history="true" w:anchor="_bookmark29">
        <w:r>
          <w:rPr>
            <w:color w:val="6D6E71"/>
          </w:rPr>
          <w:t>2011</w:t>
        </w:r>
      </w:hyperlink>
      <w:r>
        <w:rPr>
          <w:color w:val="231F20"/>
        </w:rPr>
        <w:t>; </w:t>
      </w:r>
      <w:hyperlink w:history="true" w:anchor="_bookmark67">
        <w:r>
          <w:rPr>
            <w:color w:val="6D6E71"/>
          </w:rPr>
          <w:t>Napadow et al.</w:t>
        </w:r>
      </w:hyperlink>
      <w:r>
        <w:rPr>
          <w:color w:val="6D6E71"/>
        </w:rPr>
        <w:t>, </w:t>
      </w:r>
      <w:hyperlink w:history="true" w:anchor="_bookmark67">
        <w:r>
          <w:rPr>
            <w:color w:val="6D6E71"/>
            <w:spacing w:val="-3"/>
          </w:rPr>
          <w:t>2012</w:t>
        </w:r>
      </w:hyperlink>
      <w:r>
        <w:rPr>
          <w:color w:val="231F20"/>
          <w:spacing w:val="-3"/>
        </w:rPr>
        <w:t>). </w:t>
      </w:r>
      <w:r>
        <w:rPr>
          <w:color w:val="231F20"/>
        </w:rPr>
        <w:t>Syncope, tachycardia, bradycardia, paresthesia, vertigo,</w:t>
      </w:r>
      <w:r>
        <w:rPr>
          <w:color w:val="231F20"/>
          <w:spacing w:val="-29"/>
        </w:rPr>
        <w:t> </w:t>
      </w:r>
      <w:r>
        <w:rPr>
          <w:color w:val="231F20"/>
        </w:rPr>
        <w:t>headache may also occur in response to aVNS. Contraindications </w:t>
      </w:r>
      <w:r>
        <w:rPr>
          <w:color w:val="231F20"/>
          <w:spacing w:val="-6"/>
        </w:rPr>
        <w:t>for </w:t>
      </w:r>
      <w:r>
        <w:rPr>
          <w:color w:val="231F20"/>
        </w:rPr>
        <w:t>aVNS include immunocompromised patients (because of </w:t>
      </w:r>
      <w:r>
        <w:rPr>
          <w:color w:val="231F20"/>
          <w:spacing w:val="-4"/>
        </w:rPr>
        <w:t>semi- </w:t>
      </w:r>
      <w:r>
        <w:rPr>
          <w:color w:val="231F20"/>
        </w:rPr>
        <w:t>permanent needles in the ear), hemophilia, psoriasis vulgaris at application site, the presence of a pacemaker or other </w:t>
      </w:r>
      <w:r>
        <w:rPr>
          <w:color w:val="231F20"/>
          <w:spacing w:val="-3"/>
        </w:rPr>
        <w:t>active </w:t>
      </w:r>
      <w:r>
        <w:rPr>
          <w:color w:val="231F20"/>
        </w:rPr>
        <w:t>implantable devices (to avoid interference with aVNS), and</w:t>
      </w:r>
      <w:r>
        <w:rPr>
          <w:color w:val="231F20"/>
          <w:spacing w:val="-15"/>
        </w:rPr>
        <w:t> </w:t>
      </w:r>
      <w:r>
        <w:rPr>
          <w:color w:val="231F20"/>
        </w:rPr>
        <w:t>vagal hypersensitivity.</w:t>
      </w:r>
    </w:p>
    <w:p>
      <w:pPr>
        <w:pStyle w:val="BodyText"/>
        <w:spacing w:line="213" w:lineRule="auto" w:before="20"/>
        <w:ind w:firstLine="229"/>
        <w:jc w:val="both"/>
      </w:pPr>
      <w:r>
        <w:rPr>
          <w:color w:val="231F20"/>
        </w:rPr>
        <w:t>In general, non-invasive and minimally invasive </w:t>
      </w:r>
      <w:r>
        <w:rPr>
          <w:color w:val="231F20"/>
          <w:spacing w:val="-4"/>
        </w:rPr>
        <w:t>aVNS </w:t>
      </w:r>
      <w:r>
        <w:rPr>
          <w:color w:val="231F20"/>
        </w:rPr>
        <w:t>methods show fewer side effects than implantable VNS, which raises the potential number of patients who could benefit </w:t>
      </w:r>
      <w:r>
        <w:rPr>
          <w:color w:val="231F20"/>
          <w:spacing w:val="-3"/>
        </w:rPr>
        <w:t>from </w:t>
      </w:r>
      <w:r>
        <w:rPr>
          <w:color w:val="231F20"/>
        </w:rPr>
        <w:t>aVNS. aVNS targets to modulate specific  functions  of  </w:t>
      </w:r>
      <w:r>
        <w:rPr>
          <w:color w:val="231F20"/>
          <w:spacing w:val="-5"/>
        </w:rPr>
        <w:t>the  </w:t>
      </w:r>
      <w:r>
        <w:rPr>
          <w:color w:val="231F20"/>
        </w:rPr>
        <w:t>brain (</w:t>
      </w:r>
      <w:hyperlink w:history="true" w:anchor="_bookmark49">
        <w:r>
          <w:rPr>
            <w:color w:val="6D6E71"/>
          </w:rPr>
          <w:t>Kaniusas et al.</w:t>
        </w:r>
      </w:hyperlink>
      <w:r>
        <w:rPr>
          <w:color w:val="6D6E71"/>
        </w:rPr>
        <w:t>, </w:t>
      </w:r>
      <w:hyperlink w:history="true" w:anchor="_bookmark49">
        <w:r>
          <w:rPr>
            <w:color w:val="6D6E71"/>
          </w:rPr>
          <w:t>2019</w:t>
        </w:r>
      </w:hyperlink>
      <w:r>
        <w:rPr>
          <w:color w:val="231F20"/>
        </w:rPr>
        <w:t>) and thus to reach a</w:t>
      </w:r>
      <w:r>
        <w:rPr>
          <w:color w:val="231F20"/>
          <w:spacing w:val="40"/>
        </w:rPr>
        <w:t> </w:t>
      </w:r>
      <w:r>
        <w:rPr>
          <w:color w:val="231F20"/>
        </w:rPr>
        <w:t>maximum</w:t>
      </w:r>
    </w:p>
    <w:p>
      <w:pPr>
        <w:pStyle w:val="BodyText"/>
        <w:spacing w:line="213" w:lineRule="auto" w:before="107"/>
        <w:ind w:right="155"/>
        <w:jc w:val="both"/>
      </w:pPr>
      <w:r>
        <w:rPr/>
        <w:br w:type="column"/>
      </w:r>
      <w:r>
        <w:rPr>
          <w:color w:val="231F20"/>
        </w:rPr>
        <w:t>therapeutic effect while minimizing side effects. Non-invasive portable devices are relatively easy to apply and are cost effective as related to implantable devices (</w:t>
      </w:r>
      <w:hyperlink w:history="true" w:anchor="_bookmark66">
        <w:r>
          <w:rPr>
            <w:color w:val="6D6E71"/>
          </w:rPr>
          <w:t>Morris et al.</w:t>
        </w:r>
      </w:hyperlink>
      <w:r>
        <w:rPr>
          <w:color w:val="6D6E71"/>
        </w:rPr>
        <w:t>, </w:t>
      </w:r>
      <w:hyperlink w:history="true" w:anchor="_bookmark66">
        <w:r>
          <w:rPr>
            <w:color w:val="6D6E71"/>
          </w:rPr>
          <w:t>2016</w:t>
        </w:r>
      </w:hyperlink>
      <w:r>
        <w:rPr>
          <w:color w:val="231F20"/>
        </w:rPr>
        <w:t>).</w:t>
      </w:r>
    </w:p>
    <w:p>
      <w:pPr>
        <w:pStyle w:val="BodyText"/>
        <w:spacing w:before="3"/>
        <w:ind w:left="0"/>
        <w:rPr>
          <w:sz w:val="34"/>
        </w:rPr>
      </w:pPr>
    </w:p>
    <w:p>
      <w:pPr>
        <w:pStyle w:val="BodyText"/>
        <w:spacing w:line="213" w:lineRule="auto"/>
        <w:ind w:right="155" w:firstLine="2552"/>
        <w:jc w:val="both"/>
      </w:pPr>
      <w:r>
        <w:rPr/>
        <w:pict>
          <v:shape style="position:absolute;margin-left:301.522461pt;margin-top:.323308pt;width:128.7pt;height:11.5pt;mso-position-horizontal-relative:page;mso-position-vertical-relative:paragraph;z-index:-41968" type="#_x0000_t202" filled="true" fillcolor="#fde164" stroked="false">
            <v:textbox inset="0,0,0,0">
              <w:txbxContent>
                <w:p>
                  <w:pPr>
                    <w:pStyle w:val="BodyText"/>
                    <w:spacing w:line="229" w:lineRule="exact"/>
                    <w:ind w:left="42" w:right="-29"/>
                  </w:pPr>
                  <w:r>
                    <w:rPr>
                      <w:color w:val="231F20"/>
                    </w:rPr>
                    <w:t>the invasive VN stimulation.</w:t>
                  </w:r>
                  <w:r>
                    <w:rPr>
                      <w:color w:val="231F20"/>
                      <w:spacing w:val="1"/>
                    </w:rPr>
                    <w:t> </w:t>
                  </w:r>
                  <w:r>
                    <w:rPr>
                      <w:color w:val="231F20"/>
                    </w:rPr>
                    <w:t>I</w:t>
                  </w:r>
                </w:p>
              </w:txbxContent>
            </v:textbox>
            <v:fill opacity="26214f" type="solid"/>
            <w10:wrap type="none"/>
          </v:shape>
        </w:pict>
      </w:r>
      <w:r>
        <w:rPr/>
        <w:pict>
          <v:shape style="position:absolute;margin-left:301.522461pt;margin-top:-23.264992pt;width:251.05pt;height:23.6pt;mso-position-horizontal-relative:page;mso-position-vertical-relative:paragraph;z-index:1528" type="#_x0000_t202" filled="true" fillcolor="#fde164" stroked="false">
            <v:textbox inset="0,0,0,0">
              <w:txbxContent>
                <w:p>
                  <w:pPr>
                    <w:pStyle w:val="BodyText"/>
                    <w:spacing w:line="213" w:lineRule="auto" w:before="7"/>
                    <w:ind w:left="42" w:right="279"/>
                  </w:pPr>
                  <w:r>
                    <w:rPr>
                      <w:color w:val="231F20"/>
                    </w:rPr>
                    <w:t>motor VN fibers cannot be recruited in aVNS avoiding a </w:t>
                  </w:r>
                  <w:r>
                    <w:rPr>
                      <w:color w:val="231F20"/>
                      <w:spacing w:val="-4"/>
                    </w:rPr>
                    <w:t>lot       </w:t>
                  </w:r>
                  <w:r>
                    <w:rPr>
                      <w:color w:val="231F20"/>
                    </w:rPr>
                    <w:t>of potential inadvertent effects, which is in clear contrast</w:t>
                  </w:r>
                  <w:r>
                    <w:rPr>
                      <w:color w:val="231F20"/>
                      <w:spacing w:val="34"/>
                    </w:rPr>
                    <w:t> </w:t>
                  </w:r>
                  <w:r>
                    <w:rPr>
                      <w:color w:val="231F20"/>
                    </w:rPr>
                    <w:t>to</w:t>
                  </w:r>
                </w:p>
              </w:txbxContent>
            </v:textbox>
            <v:fill opacity="26214f" type="solid"/>
            <w10:wrap type="none"/>
          </v:shape>
        </w:pict>
      </w:r>
      <w:r>
        <w:rPr/>
        <w:pict>
          <v:shape style="position:absolute;margin-left:508.812256pt;margin-top:-34.721893pt;width:43.75pt;height:11.5pt;mso-position-horizontal-relative:page;mso-position-vertical-relative:paragraph;z-index:-41920" type="#_x0000_t202" filled="true" fillcolor="#fde164" stroked="false">
            <v:textbox inset="0,0,0,0">
              <w:txbxContent>
                <w:p>
                  <w:pPr>
                    <w:pStyle w:val="BodyText"/>
                    <w:spacing w:line="229" w:lineRule="exact"/>
                    <w:ind w:left="42"/>
                  </w:pPr>
                  <w:r>
                    <w:rPr>
                      <w:color w:val="231F20"/>
                    </w:rPr>
                    <w:t>Favorably,</w:t>
                  </w:r>
                </w:p>
              </w:txbxContent>
            </v:textbox>
            <v:fill opacity="26214f" type="solid"/>
            <w10:wrap type="none"/>
          </v:shape>
        </w:pict>
      </w:r>
      <w:r>
        <w:rPr>
          <w:color w:val="231F20"/>
        </w:rPr>
        <w:t>nterestingly, scarification and cauterization of the outer ear was practiced earlier as a “gross acupuncture” for healing purposes, as a forerunner for aVNS.</w:t>
      </w:r>
    </w:p>
    <w:p>
      <w:pPr>
        <w:pStyle w:val="BodyText"/>
        <w:spacing w:before="4"/>
        <w:ind w:left="0"/>
        <w:rPr>
          <w:sz w:val="21"/>
        </w:rPr>
      </w:pPr>
    </w:p>
    <w:p>
      <w:pPr>
        <w:pStyle w:val="Heading1"/>
        <w:spacing w:line="242" w:lineRule="auto"/>
        <w:ind w:right="630"/>
      </w:pPr>
      <w:bookmarkStart w:name="Optimization of Stimulation Settings in " w:id="7"/>
      <w:bookmarkEnd w:id="7"/>
      <w:r>
        <w:rPr/>
      </w:r>
      <w:r>
        <w:rPr>
          <w:color w:val="231F20"/>
          <w:w w:val="110"/>
        </w:rPr>
        <w:t>Optimization of Stimulation Settings in aVNS</w:t>
      </w:r>
    </w:p>
    <w:p>
      <w:pPr>
        <w:pStyle w:val="BodyText"/>
        <w:spacing w:line="213" w:lineRule="auto" w:before="18"/>
        <w:ind w:right="155"/>
        <w:jc w:val="both"/>
      </w:pPr>
      <w:r>
        <w:rPr>
          <w:color w:val="231F20"/>
        </w:rPr>
        <w:t>Basically, two optimization aims should be addressed by the stimulation set-up of aVNS:</w:t>
      </w:r>
    </w:p>
    <w:p>
      <w:pPr>
        <w:pStyle w:val="BodyText"/>
        <w:spacing w:before="9"/>
        <w:ind w:left="0"/>
        <w:rPr>
          <w:sz w:val="16"/>
        </w:rPr>
      </w:pPr>
    </w:p>
    <w:p>
      <w:pPr>
        <w:pStyle w:val="ListParagraph"/>
        <w:numPr>
          <w:ilvl w:val="0"/>
          <w:numId w:val="2"/>
        </w:numPr>
        <w:tabs>
          <w:tab w:pos="594" w:val="left" w:leader="none"/>
        </w:tabs>
        <w:spacing w:line="213" w:lineRule="auto" w:before="0" w:after="0"/>
        <w:ind w:left="593" w:right="155" w:hanging="282"/>
        <w:jc w:val="both"/>
        <w:rPr>
          <w:sz w:val="19"/>
        </w:rPr>
      </w:pPr>
      <w:r>
        <w:rPr>
          <w:color w:val="231F20"/>
          <w:sz w:val="19"/>
        </w:rPr>
        <w:t>The stimulation of vagally innervated regions of the ear should be targeted when applying aVNS. On the </w:t>
      </w:r>
      <w:r>
        <w:rPr>
          <w:color w:val="231F20"/>
          <w:spacing w:val="-3"/>
          <w:sz w:val="19"/>
        </w:rPr>
        <w:t>other </w:t>
      </w:r>
      <w:r>
        <w:rPr>
          <w:color w:val="231F20"/>
          <w:sz w:val="19"/>
        </w:rPr>
        <w:t>hand,</w:t>
      </w:r>
    </w:p>
    <w:p>
      <w:pPr>
        <w:pStyle w:val="ListParagraph"/>
        <w:numPr>
          <w:ilvl w:val="0"/>
          <w:numId w:val="2"/>
        </w:numPr>
        <w:tabs>
          <w:tab w:pos="594" w:val="left" w:leader="none"/>
        </w:tabs>
        <w:spacing w:line="213" w:lineRule="auto" w:before="3" w:after="0"/>
        <w:ind w:left="593" w:right="155" w:hanging="333"/>
        <w:jc w:val="both"/>
        <w:rPr>
          <w:sz w:val="19"/>
        </w:rPr>
      </w:pPr>
      <w:r>
        <w:rPr>
          <w:color w:val="231F20"/>
          <w:sz w:val="19"/>
        </w:rPr>
        <w:t>the electrical stimulation should optimally recruit </w:t>
      </w:r>
      <w:r>
        <w:rPr>
          <w:color w:val="231F20"/>
          <w:spacing w:val="-5"/>
          <w:sz w:val="19"/>
        </w:rPr>
        <w:t>aVN </w:t>
      </w:r>
      <w:r>
        <w:rPr>
          <w:color w:val="231F20"/>
          <w:sz w:val="19"/>
        </w:rPr>
        <w:t>fibers close to the stimulation electrodes for a </w:t>
      </w:r>
      <w:r>
        <w:rPr>
          <w:color w:val="231F20"/>
          <w:spacing w:val="-3"/>
          <w:sz w:val="19"/>
        </w:rPr>
        <w:t>given </w:t>
      </w:r>
      <w:r>
        <w:rPr>
          <w:color w:val="231F20"/>
          <w:sz w:val="19"/>
        </w:rPr>
        <w:t>stimulation waveform and</w:t>
      </w:r>
      <w:r>
        <w:rPr>
          <w:color w:val="231F20"/>
          <w:spacing w:val="-1"/>
          <w:sz w:val="19"/>
        </w:rPr>
        <w:t> </w:t>
      </w:r>
      <w:r>
        <w:rPr>
          <w:color w:val="231F20"/>
          <w:sz w:val="19"/>
        </w:rPr>
        <w:t>strength.</w:t>
      </w:r>
    </w:p>
    <w:p>
      <w:pPr>
        <w:pStyle w:val="BodyText"/>
        <w:spacing w:before="9"/>
        <w:ind w:left="0"/>
      </w:pPr>
    </w:p>
    <w:p>
      <w:pPr>
        <w:pStyle w:val="Heading2"/>
      </w:pPr>
      <w:bookmarkStart w:name="Stimulation Regions" w:id="8"/>
      <w:bookmarkEnd w:id="8"/>
      <w:r>
        <w:rPr/>
      </w:r>
      <w:r>
        <w:rPr>
          <w:color w:val="231F20"/>
          <w:w w:val="105"/>
        </w:rPr>
        <w:t>Stimulation Regions</w:t>
      </w:r>
    </w:p>
    <w:p>
      <w:pPr>
        <w:pStyle w:val="BodyText"/>
        <w:spacing w:line="213" w:lineRule="auto" w:before="29"/>
        <w:ind w:right="155"/>
        <w:jc w:val="both"/>
      </w:pPr>
      <w:r>
        <w:rPr>
          <w:color w:val="231F20"/>
        </w:rPr>
        <w:t>The first aim can be practically addressed via the anatomical map of the different auricular nerves (</w:t>
      </w:r>
      <w:hyperlink w:history="true" w:anchor="_bookmark1">
        <w:r>
          <w:rPr>
            <w:b/>
            <w:color w:val="231F20"/>
          </w:rPr>
          <w:t>Figure 1A</w:t>
        </w:r>
      </w:hyperlink>
      <w:r>
        <w:rPr>
          <w:color w:val="231F20"/>
        </w:rPr>
        <w:t>). aVNS </w:t>
      </w:r>
      <w:r>
        <w:rPr>
          <w:color w:val="231F20"/>
          <w:spacing w:val="-6"/>
        </w:rPr>
        <w:t>is </w:t>
      </w:r>
      <w:r>
        <w:rPr>
          <w:color w:val="231F20"/>
        </w:rPr>
        <w:t>typically performed in the cymba and cavity of concha, crus of antihelix, and the inner tragus region of the </w:t>
      </w:r>
      <w:r>
        <w:rPr>
          <w:color w:val="231F20"/>
          <w:spacing w:val="-4"/>
        </w:rPr>
        <w:t>ear, </w:t>
      </w:r>
      <w:r>
        <w:rPr>
          <w:color w:val="231F20"/>
        </w:rPr>
        <w:t>which were found to be at least partly innervated by aVN (</w:t>
      </w:r>
      <w:hyperlink w:history="true" w:anchor="_bookmark6">
        <w:r>
          <w:rPr>
            <w:color w:val="6D6E71"/>
          </w:rPr>
          <w:t>Alvord and</w:t>
        </w:r>
      </w:hyperlink>
      <w:r>
        <w:rPr>
          <w:color w:val="6D6E71"/>
        </w:rPr>
        <w:t> </w:t>
      </w:r>
      <w:hyperlink w:history="true" w:anchor="_bookmark6">
        <w:r>
          <w:rPr>
            <w:color w:val="6D6E71"/>
          </w:rPr>
          <w:t>Farmer</w:t>
        </w:r>
      </w:hyperlink>
      <w:r>
        <w:rPr>
          <w:color w:val="6D6E71"/>
        </w:rPr>
        <w:t>, </w:t>
      </w:r>
      <w:hyperlink w:history="true" w:anchor="_bookmark6">
        <w:r>
          <w:rPr>
            <w:color w:val="6D6E71"/>
          </w:rPr>
          <w:t>1998</w:t>
        </w:r>
      </w:hyperlink>
      <w:r>
        <w:rPr>
          <w:color w:val="231F20"/>
        </w:rPr>
        <w:t>; </w:t>
      </w:r>
      <w:hyperlink w:history="true" w:anchor="_bookmark46">
        <w:r>
          <w:rPr>
            <w:color w:val="6D6E71"/>
          </w:rPr>
          <w:t>Kandel et al.</w:t>
        </w:r>
      </w:hyperlink>
      <w:r>
        <w:rPr>
          <w:color w:val="6D6E71"/>
        </w:rPr>
        <w:t>, </w:t>
      </w:r>
      <w:hyperlink w:history="true" w:anchor="_bookmark46">
        <w:r>
          <w:rPr>
            <w:color w:val="6D6E71"/>
          </w:rPr>
          <w:t>2000</w:t>
        </w:r>
      </w:hyperlink>
      <w:r>
        <w:rPr>
          <w:color w:val="231F20"/>
        </w:rPr>
        <w:t>; </w:t>
      </w:r>
      <w:hyperlink w:history="true" w:anchor="_bookmark73">
        <w:r>
          <w:rPr>
            <w:color w:val="6D6E71"/>
          </w:rPr>
          <w:t>Peuker and Filler</w:t>
        </w:r>
      </w:hyperlink>
      <w:r>
        <w:rPr>
          <w:color w:val="6D6E71"/>
        </w:rPr>
        <w:t>, </w:t>
      </w:r>
      <w:hyperlink w:history="true" w:anchor="_bookmark73">
        <w:r>
          <w:rPr>
            <w:color w:val="6D6E71"/>
          </w:rPr>
          <w:t>2002</w:t>
        </w:r>
      </w:hyperlink>
      <w:r>
        <w:rPr>
          <w:color w:val="231F20"/>
        </w:rPr>
        <w:t>; </w:t>
      </w:r>
      <w:hyperlink w:history="true" w:anchor="_bookmark40">
        <w:r>
          <w:rPr>
            <w:color w:val="6D6E71"/>
          </w:rPr>
          <w:t>He</w:t>
        </w:r>
      </w:hyperlink>
      <w:r>
        <w:rPr>
          <w:color w:val="6D6E71"/>
        </w:rPr>
        <w:t>    </w:t>
      </w:r>
      <w:hyperlink w:history="true" w:anchor="_bookmark40">
        <w:r>
          <w:rPr>
            <w:color w:val="6D6E71"/>
          </w:rPr>
          <w:t>et al.</w:t>
        </w:r>
      </w:hyperlink>
      <w:r>
        <w:rPr>
          <w:color w:val="6D6E71"/>
        </w:rPr>
        <w:t>, </w:t>
      </w:r>
      <w:hyperlink w:history="true" w:anchor="_bookmark40">
        <w:r>
          <w:rPr>
            <w:color w:val="6D6E71"/>
          </w:rPr>
          <w:t>2012</w:t>
        </w:r>
      </w:hyperlink>
      <w:r>
        <w:rPr>
          <w:color w:val="231F20"/>
        </w:rPr>
        <w:t>). While the diffuse stimulation of the transcutaneous aVNS does not allow a precise selection of stimulated regions,    a spatially focussed stimulation is favored by the percutaneous aVNS with its miniature needles set in the anatomical regions innervated by aVN.</w:t>
      </w:r>
    </w:p>
    <w:p>
      <w:pPr>
        <w:pStyle w:val="BodyText"/>
        <w:spacing w:line="213" w:lineRule="auto" w:before="6"/>
        <w:ind w:right="155" w:firstLine="229"/>
        <w:jc w:val="both"/>
      </w:pPr>
      <w:r>
        <w:rPr>
          <w:color w:val="231F20"/>
        </w:rPr>
        <w:t>A special recognition is required here on the recent controversy on the true anatomical location of aVN and whether the</w:t>
      </w:r>
      <w:r>
        <w:rPr>
          <w:color w:val="231F20"/>
          <w:spacing w:val="-8"/>
        </w:rPr>
        <w:t> </w:t>
      </w:r>
      <w:r>
        <w:rPr>
          <w:color w:val="231F20"/>
        </w:rPr>
        <w:t>stimulation</w:t>
      </w:r>
      <w:r>
        <w:rPr>
          <w:color w:val="231F20"/>
          <w:spacing w:val="-7"/>
        </w:rPr>
        <w:t> </w:t>
      </w:r>
      <w:r>
        <w:rPr>
          <w:color w:val="231F20"/>
        </w:rPr>
        <w:t>effects</w:t>
      </w:r>
      <w:r>
        <w:rPr>
          <w:color w:val="231F20"/>
          <w:spacing w:val="-8"/>
        </w:rPr>
        <w:t> </w:t>
      </w:r>
      <w:r>
        <w:rPr>
          <w:color w:val="231F20"/>
        </w:rPr>
        <w:t>of</w:t>
      </w:r>
      <w:r>
        <w:rPr>
          <w:color w:val="231F20"/>
          <w:spacing w:val="-7"/>
        </w:rPr>
        <w:t> </w:t>
      </w:r>
      <w:r>
        <w:rPr>
          <w:color w:val="231F20"/>
        </w:rPr>
        <w:t>aVNS</w:t>
      </w:r>
      <w:r>
        <w:rPr>
          <w:color w:val="231F20"/>
          <w:spacing w:val="-8"/>
        </w:rPr>
        <w:t> </w:t>
      </w:r>
      <w:r>
        <w:rPr>
          <w:color w:val="231F20"/>
        </w:rPr>
        <w:t>are</w:t>
      </w:r>
      <w:r>
        <w:rPr>
          <w:color w:val="231F20"/>
          <w:spacing w:val="-7"/>
        </w:rPr>
        <w:t> </w:t>
      </w:r>
      <w:r>
        <w:rPr>
          <w:color w:val="231F20"/>
        </w:rPr>
        <w:t>due</w:t>
      </w:r>
      <w:r>
        <w:rPr>
          <w:color w:val="231F20"/>
          <w:spacing w:val="-7"/>
        </w:rPr>
        <w:t> </w:t>
      </w:r>
      <w:r>
        <w:rPr>
          <w:color w:val="231F20"/>
        </w:rPr>
        <w:t>to</w:t>
      </w:r>
      <w:r>
        <w:rPr>
          <w:color w:val="231F20"/>
          <w:spacing w:val="-8"/>
        </w:rPr>
        <w:t> </w:t>
      </w:r>
      <w:r>
        <w:rPr>
          <w:color w:val="231F20"/>
        </w:rPr>
        <w:t>the</w:t>
      </w:r>
      <w:r>
        <w:rPr>
          <w:color w:val="231F20"/>
          <w:spacing w:val="-7"/>
        </w:rPr>
        <w:t> </w:t>
      </w:r>
      <w:r>
        <w:rPr>
          <w:color w:val="231F20"/>
        </w:rPr>
        <w:t>recruitment</w:t>
      </w:r>
      <w:r>
        <w:rPr>
          <w:color w:val="231F20"/>
          <w:spacing w:val="-8"/>
        </w:rPr>
        <w:t> </w:t>
      </w:r>
      <w:r>
        <w:rPr>
          <w:color w:val="231F20"/>
        </w:rPr>
        <w:t>of</w:t>
      </w:r>
      <w:r>
        <w:rPr>
          <w:color w:val="231F20"/>
          <w:spacing w:val="-7"/>
        </w:rPr>
        <w:t> </w:t>
      </w:r>
      <w:r>
        <w:rPr>
          <w:color w:val="231F20"/>
        </w:rPr>
        <w:t>aVN or other nerves. The literature on the definite innervation of the auricle is very sparse and is usually based on often cited findings in </w:t>
      </w:r>
      <w:hyperlink w:history="true" w:anchor="_bookmark73">
        <w:r>
          <w:rPr>
            <w:color w:val="6D6E71"/>
          </w:rPr>
          <w:t>Peuker and Filler </w:t>
        </w:r>
      </w:hyperlink>
      <w:r>
        <w:rPr>
          <w:color w:val="6D6E71"/>
        </w:rPr>
        <w:t>(</w:t>
      </w:r>
      <w:hyperlink w:history="true" w:anchor="_bookmark73">
        <w:r>
          <w:rPr>
            <w:color w:val="6D6E71"/>
          </w:rPr>
          <w:t>2002</w:t>
        </w:r>
      </w:hyperlink>
      <w:r>
        <w:rPr>
          <w:color w:val="6D6E71"/>
        </w:rPr>
        <w:t>)</w:t>
      </w:r>
      <w:r>
        <w:rPr>
          <w:color w:val="231F20"/>
        </w:rPr>
        <w:t>. These findings unfortunately </w:t>
      </w:r>
      <w:r>
        <w:rPr>
          <w:color w:val="231F20"/>
          <w:spacing w:val="-4"/>
        </w:rPr>
        <w:t>show </w:t>
      </w:r>
      <w:r>
        <w:rPr>
          <w:color w:val="231F20"/>
        </w:rPr>
        <w:t>some inconsistencies with respect to aVN innervation regions (</w:t>
      </w:r>
      <w:hyperlink w:history="true" w:anchor="_bookmark20">
        <w:r>
          <w:rPr>
            <w:color w:val="6D6E71"/>
          </w:rPr>
          <w:t>Burger</w:t>
        </w:r>
        <w:r>
          <w:rPr>
            <w:color w:val="6D6E71"/>
            <w:spacing w:val="-7"/>
          </w:rPr>
          <w:t> </w:t>
        </w:r>
        <w:r>
          <w:rPr>
            <w:color w:val="6D6E71"/>
          </w:rPr>
          <w:t>and</w:t>
        </w:r>
        <w:r>
          <w:rPr>
            <w:color w:val="6D6E71"/>
            <w:spacing w:val="-6"/>
          </w:rPr>
          <w:t> </w:t>
        </w:r>
        <w:r>
          <w:rPr>
            <w:color w:val="6D6E71"/>
          </w:rPr>
          <w:t>Verkuil</w:t>
        </w:r>
      </w:hyperlink>
      <w:r>
        <w:rPr>
          <w:color w:val="6D6E71"/>
        </w:rPr>
        <w:t>,</w:t>
      </w:r>
      <w:r>
        <w:rPr>
          <w:color w:val="6D6E71"/>
          <w:spacing w:val="-6"/>
        </w:rPr>
        <w:t> </w:t>
      </w:r>
      <w:hyperlink w:history="true" w:anchor="_bookmark20">
        <w:r>
          <w:rPr>
            <w:color w:val="6D6E71"/>
          </w:rPr>
          <w:t>2018</w:t>
        </w:r>
      </w:hyperlink>
      <w:r>
        <w:rPr>
          <w:color w:val="231F20"/>
        </w:rPr>
        <w:t>)</w:t>
      </w:r>
      <w:r>
        <w:rPr>
          <w:color w:val="231F20"/>
          <w:spacing w:val="-7"/>
        </w:rPr>
        <w:t> </w:t>
      </w:r>
      <w:r>
        <w:rPr>
          <w:color w:val="231F20"/>
        </w:rPr>
        <w:t>and</w:t>
      </w:r>
      <w:r>
        <w:rPr>
          <w:color w:val="231F20"/>
          <w:spacing w:val="-6"/>
        </w:rPr>
        <w:t> </w:t>
      </w:r>
      <w:r>
        <w:rPr>
          <w:color w:val="231F20"/>
        </w:rPr>
        <w:t>are</w:t>
      </w:r>
      <w:r>
        <w:rPr>
          <w:color w:val="231F20"/>
          <w:spacing w:val="-6"/>
        </w:rPr>
        <w:t> </w:t>
      </w:r>
      <w:r>
        <w:rPr>
          <w:color w:val="231F20"/>
        </w:rPr>
        <w:t>based</w:t>
      </w:r>
      <w:r>
        <w:rPr>
          <w:color w:val="231F20"/>
          <w:spacing w:val="-7"/>
        </w:rPr>
        <w:t> </w:t>
      </w:r>
      <w:r>
        <w:rPr>
          <w:color w:val="231F20"/>
        </w:rPr>
        <w:t>on</w:t>
      </w:r>
      <w:r>
        <w:rPr>
          <w:color w:val="231F20"/>
          <w:spacing w:val="-6"/>
        </w:rPr>
        <w:t> </w:t>
      </w:r>
      <w:r>
        <w:rPr>
          <w:color w:val="231F20"/>
        </w:rPr>
        <w:t>only</w:t>
      </w:r>
      <w:r>
        <w:rPr>
          <w:color w:val="231F20"/>
          <w:spacing w:val="-6"/>
        </w:rPr>
        <w:t> </w:t>
      </w:r>
      <w:r>
        <w:rPr>
          <w:color w:val="231F20"/>
        </w:rPr>
        <w:t>14</w:t>
      </w:r>
      <w:r>
        <w:rPr>
          <w:color w:val="231F20"/>
          <w:spacing w:val="-7"/>
        </w:rPr>
        <w:t> </w:t>
      </w:r>
      <w:r>
        <w:rPr>
          <w:color w:val="231F20"/>
        </w:rPr>
        <w:t>ears</w:t>
      </w:r>
      <w:r>
        <w:rPr>
          <w:color w:val="231F20"/>
          <w:spacing w:val="-6"/>
        </w:rPr>
        <w:t> </w:t>
      </w:r>
      <w:r>
        <w:rPr>
          <w:color w:val="231F20"/>
        </w:rPr>
        <w:t>of</w:t>
      </w:r>
      <w:r>
        <w:rPr>
          <w:color w:val="231F20"/>
          <w:spacing w:val="-6"/>
        </w:rPr>
        <w:t> </w:t>
      </w:r>
      <w:r>
        <w:rPr>
          <w:color w:val="231F20"/>
        </w:rPr>
        <w:t>seven human cadavers (</w:t>
      </w:r>
      <w:hyperlink w:history="true" w:anchor="_bookmark73">
        <w:r>
          <w:rPr>
            <w:color w:val="6D6E71"/>
          </w:rPr>
          <w:t>Peuker and Filler</w:t>
        </w:r>
      </w:hyperlink>
      <w:r>
        <w:rPr>
          <w:color w:val="6D6E71"/>
        </w:rPr>
        <w:t>, </w:t>
      </w:r>
      <w:hyperlink w:history="true" w:anchor="_bookmark73">
        <w:r>
          <w:rPr>
            <w:color w:val="6D6E71"/>
          </w:rPr>
          <w:t>2002</w:t>
        </w:r>
      </w:hyperlink>
      <w:r>
        <w:rPr>
          <w:color w:val="231F20"/>
        </w:rPr>
        <w:t>), which may not reflect anatomical variations of a wider</w:t>
      </w:r>
      <w:r>
        <w:rPr>
          <w:color w:val="231F20"/>
          <w:spacing w:val="-1"/>
        </w:rPr>
        <w:t> </w:t>
      </w:r>
      <w:r>
        <w:rPr>
          <w:color w:val="231F20"/>
        </w:rPr>
        <w:t>population.</w:t>
      </w:r>
    </w:p>
    <w:p>
      <w:pPr>
        <w:pStyle w:val="BodyText"/>
        <w:spacing w:line="213" w:lineRule="auto" w:before="10"/>
        <w:ind w:right="155" w:firstLine="229"/>
        <w:jc w:val="both"/>
      </w:pPr>
      <w:r>
        <w:rPr>
          <w:color w:val="231F20"/>
        </w:rPr>
        <w:t>Auricular vagus nerve stimulation is usually performed at the tragus or (cavum, cymba) concha. However, some approaches cover larger areas of the auricle (</w:t>
      </w:r>
      <w:hyperlink w:history="true" w:anchor="_bookmark90">
        <w:r>
          <w:rPr>
            <w:color w:val="6D6E71"/>
          </w:rPr>
          <w:t>Sator-Katzenschlager and</w:t>
        </w:r>
      </w:hyperlink>
      <w:r>
        <w:rPr>
          <w:color w:val="6D6E71"/>
        </w:rPr>
        <w:t> </w:t>
      </w:r>
      <w:hyperlink w:history="true" w:anchor="_bookmark90">
        <w:r>
          <w:rPr>
            <w:color w:val="6D6E71"/>
          </w:rPr>
          <w:t>Michalek-Sauberer</w:t>
        </w:r>
      </w:hyperlink>
      <w:r>
        <w:rPr>
          <w:color w:val="6D6E71"/>
        </w:rPr>
        <w:t>, </w:t>
      </w:r>
      <w:hyperlink w:history="true" w:anchor="_bookmark90">
        <w:r>
          <w:rPr>
            <w:color w:val="6D6E71"/>
          </w:rPr>
          <w:t>2007</w:t>
        </w:r>
      </w:hyperlink>
      <w:r>
        <w:rPr>
          <w:color w:val="231F20"/>
        </w:rPr>
        <w:t>) with the potential – and even with the targeted aim (</w:t>
      </w:r>
      <w:hyperlink w:history="true" w:anchor="_bookmark54">
        <w:r>
          <w:rPr>
            <w:color w:val="6D6E71"/>
          </w:rPr>
          <w:t>Kovacic et al.</w:t>
        </w:r>
      </w:hyperlink>
      <w:r>
        <w:rPr>
          <w:color w:val="6D6E71"/>
        </w:rPr>
        <w:t>, </w:t>
      </w:r>
      <w:hyperlink w:history="true" w:anchor="_bookmark54">
        <w:r>
          <w:rPr>
            <w:color w:val="6D6E71"/>
          </w:rPr>
          <w:t>2017</w:t>
        </w:r>
      </w:hyperlink>
      <w:r>
        <w:rPr>
          <w:color w:val="231F20"/>
        </w:rPr>
        <w:t>) – to stimulate concomitantly</w:t>
      </w:r>
      <w:r>
        <w:rPr>
          <w:color w:val="231F20"/>
          <w:spacing w:val="-22"/>
        </w:rPr>
        <w:t> </w:t>
      </w:r>
      <w:r>
        <w:rPr>
          <w:color w:val="231F20"/>
        </w:rPr>
        <w:t>a few more auricular nerves in addition to aVN. The</w:t>
      </w:r>
      <w:r>
        <w:rPr>
          <w:color w:val="231F20"/>
          <w:spacing w:val="-30"/>
        </w:rPr>
        <w:t> </w:t>
      </w:r>
      <w:r>
        <w:rPr>
          <w:color w:val="231F20"/>
        </w:rPr>
        <w:t>co-stimulated nerves are the great auricular nerve (with connections to the spinal cord) and/or the auriculotemporal nerve (connecting </w:t>
      </w:r>
      <w:r>
        <w:rPr>
          <w:color w:val="231F20"/>
          <w:spacing w:val="-6"/>
        </w:rPr>
        <w:t>to </w:t>
      </w:r>
      <w:r>
        <w:rPr>
          <w:color w:val="231F20"/>
        </w:rPr>
        <w:t>the</w:t>
      </w:r>
      <w:r>
        <w:rPr>
          <w:color w:val="231F20"/>
          <w:spacing w:val="-7"/>
        </w:rPr>
        <w:t> </w:t>
      </w:r>
      <w:r>
        <w:rPr>
          <w:color w:val="231F20"/>
        </w:rPr>
        <w:t>nucleus</w:t>
      </w:r>
      <w:r>
        <w:rPr>
          <w:color w:val="231F20"/>
          <w:spacing w:val="-7"/>
        </w:rPr>
        <w:t> </w:t>
      </w:r>
      <w:r>
        <w:rPr>
          <w:color w:val="231F20"/>
        </w:rPr>
        <w:t>spinalis</w:t>
      </w:r>
      <w:r>
        <w:rPr>
          <w:color w:val="231F20"/>
          <w:spacing w:val="-7"/>
        </w:rPr>
        <w:t> </w:t>
      </w:r>
      <w:r>
        <w:rPr>
          <w:color w:val="231F20"/>
        </w:rPr>
        <w:t>of</w:t>
      </w:r>
      <w:r>
        <w:rPr>
          <w:color w:val="231F20"/>
          <w:spacing w:val="-6"/>
        </w:rPr>
        <w:t> </w:t>
      </w:r>
      <w:r>
        <w:rPr>
          <w:color w:val="231F20"/>
        </w:rPr>
        <w:t>the</w:t>
      </w:r>
      <w:r>
        <w:rPr>
          <w:color w:val="231F20"/>
          <w:spacing w:val="-7"/>
        </w:rPr>
        <w:t> </w:t>
      </w:r>
      <w:r>
        <w:rPr>
          <w:color w:val="231F20"/>
        </w:rPr>
        <w:t>trigeminal</w:t>
      </w:r>
      <w:r>
        <w:rPr>
          <w:color w:val="231F20"/>
          <w:spacing w:val="-7"/>
        </w:rPr>
        <w:t> </w:t>
      </w:r>
      <w:r>
        <w:rPr>
          <w:color w:val="231F20"/>
        </w:rPr>
        <w:t>nerve).</w:t>
      </w:r>
      <w:r>
        <w:rPr>
          <w:color w:val="231F20"/>
          <w:spacing w:val="-6"/>
        </w:rPr>
        <w:t> </w:t>
      </w:r>
      <w:r>
        <w:rPr>
          <w:color w:val="231F20"/>
        </w:rPr>
        <w:t>For</w:t>
      </w:r>
      <w:r>
        <w:rPr>
          <w:color w:val="231F20"/>
          <w:spacing w:val="-7"/>
        </w:rPr>
        <w:t> </w:t>
      </w:r>
      <w:r>
        <w:rPr>
          <w:color w:val="231F20"/>
        </w:rPr>
        <w:t>instance,</w:t>
      </w:r>
      <w:r>
        <w:rPr>
          <w:color w:val="231F20"/>
          <w:spacing w:val="-7"/>
        </w:rPr>
        <w:t> </w:t>
      </w:r>
      <w:r>
        <w:rPr>
          <w:color w:val="231F20"/>
        </w:rPr>
        <w:t>tracing of the transcutaneous stimulation at the tragus in rats labeled mainly the dorsal horn of the cervical spinal cord and </w:t>
      </w:r>
      <w:r>
        <w:rPr>
          <w:color w:val="231F20"/>
          <w:spacing w:val="-3"/>
        </w:rPr>
        <w:t>labeled </w:t>
      </w:r>
      <w:r>
        <w:rPr>
          <w:color w:val="231F20"/>
        </w:rPr>
        <w:t>only sparsely NTS, the termination site of aVN (</w:t>
      </w:r>
      <w:hyperlink w:history="true" w:anchor="_bookmark1">
        <w:r>
          <w:rPr>
            <w:b/>
            <w:color w:val="231F20"/>
          </w:rPr>
          <w:t>Figure 1A</w:t>
        </w:r>
      </w:hyperlink>
      <w:r>
        <w:rPr>
          <w:color w:val="231F20"/>
        </w:rPr>
        <w:t>), as reported recently in </w:t>
      </w:r>
      <w:hyperlink w:history="true" w:anchor="_bookmark60">
        <w:r>
          <w:rPr>
            <w:color w:val="6D6E71"/>
          </w:rPr>
          <w:t>Mahadi et al.</w:t>
        </w:r>
      </w:hyperlink>
      <w:r>
        <w:rPr>
          <w:color w:val="6D6E71"/>
          <w:spacing w:val="-1"/>
        </w:rPr>
        <w:t> </w:t>
      </w:r>
      <w:r>
        <w:rPr>
          <w:color w:val="6D6E71"/>
        </w:rPr>
        <w:t>(</w:t>
      </w:r>
      <w:hyperlink w:history="true" w:anchor="_bookmark60">
        <w:r>
          <w:rPr>
            <w:color w:val="6D6E71"/>
          </w:rPr>
          <w:t>2019</w:t>
        </w:r>
      </w:hyperlink>
      <w:r>
        <w:rPr>
          <w:color w:val="6D6E71"/>
        </w:rPr>
        <w:t>)</w:t>
      </w:r>
      <w:r>
        <w:rPr>
          <w:color w:val="231F20"/>
        </w:rPr>
        <w:t>.</w:t>
      </w:r>
    </w:p>
    <w:p>
      <w:pPr>
        <w:spacing w:after="0" w:line="213" w:lineRule="auto"/>
        <w:jc w:val="both"/>
        <w:sectPr>
          <w:type w:val="continuous"/>
          <w:pgSz w:w="11910" w:h="15600"/>
          <w:pgMar w:top="520" w:bottom="780" w:left="740" w:right="740"/>
          <w:cols w:num="2" w:equalWidth="0">
            <w:col w:w="5095" w:space="79"/>
            <w:col w:w="5256"/>
          </w:cols>
        </w:sectPr>
      </w:pPr>
    </w:p>
    <w:p>
      <w:pPr>
        <w:pStyle w:val="BodyText"/>
        <w:spacing w:before="7"/>
        <w:ind w:left="0"/>
      </w:pPr>
    </w:p>
    <w:p>
      <w:pPr>
        <w:spacing w:after="0"/>
        <w:sectPr>
          <w:pgSz w:w="11910" w:h="15600"/>
          <w:pgMar w:header="560" w:footer="588" w:top="840" w:bottom="780" w:left="740" w:right="740"/>
        </w:sectPr>
      </w:pPr>
    </w:p>
    <w:p>
      <w:pPr>
        <w:pStyle w:val="BodyText"/>
        <w:spacing w:line="213" w:lineRule="auto" w:before="107"/>
        <w:ind w:firstLine="229"/>
        <w:jc w:val="both"/>
      </w:pPr>
      <w:r>
        <w:rPr>
          <w:color w:val="231F20"/>
        </w:rPr>
        <w:t>It is also discussed if the tragus includes aVN  endings  </w:t>
      </w:r>
      <w:r>
        <w:rPr>
          <w:color w:val="231F20"/>
          <w:spacing w:val="-8"/>
        </w:rPr>
        <w:t>or </w:t>
      </w:r>
      <w:r>
        <w:rPr>
          <w:color w:val="231F20"/>
        </w:rPr>
        <w:t>only non-aVN endings, such as the great auricular nerve and </w:t>
      </w:r>
      <w:r>
        <w:rPr>
          <w:color w:val="231F20"/>
          <w:spacing w:val="-5"/>
        </w:rPr>
        <w:t>the </w:t>
      </w:r>
      <w:r>
        <w:rPr>
          <w:color w:val="231F20"/>
        </w:rPr>
        <w:t>auriculotemporal</w:t>
      </w:r>
      <w:r>
        <w:rPr>
          <w:color w:val="231F20"/>
          <w:spacing w:val="-8"/>
        </w:rPr>
        <w:t> </w:t>
      </w:r>
      <w:r>
        <w:rPr>
          <w:color w:val="231F20"/>
        </w:rPr>
        <w:t>nerve</w:t>
      </w:r>
      <w:r>
        <w:rPr>
          <w:color w:val="231F20"/>
          <w:spacing w:val="-7"/>
        </w:rPr>
        <w:t> </w:t>
      </w:r>
      <w:r>
        <w:rPr>
          <w:color w:val="231F20"/>
        </w:rPr>
        <w:t>(</w:t>
      </w:r>
      <w:hyperlink w:history="true" w:anchor="_bookmark7">
        <w:r>
          <w:rPr>
            <w:color w:val="6D6E71"/>
          </w:rPr>
          <w:t>Badran</w:t>
        </w:r>
        <w:r>
          <w:rPr>
            <w:color w:val="6D6E71"/>
            <w:spacing w:val="-7"/>
          </w:rPr>
          <w:t> </w:t>
        </w:r>
        <w:r>
          <w:rPr>
            <w:color w:val="6D6E71"/>
          </w:rPr>
          <w:t>et</w:t>
        </w:r>
        <w:r>
          <w:rPr>
            <w:color w:val="6D6E71"/>
            <w:spacing w:val="-8"/>
          </w:rPr>
          <w:t> </w:t>
        </w:r>
        <w:r>
          <w:rPr>
            <w:color w:val="6D6E71"/>
          </w:rPr>
          <w:t>al.</w:t>
        </w:r>
      </w:hyperlink>
      <w:r>
        <w:rPr>
          <w:color w:val="6D6E71"/>
        </w:rPr>
        <w:t>,</w:t>
      </w:r>
      <w:r>
        <w:rPr>
          <w:color w:val="6D6E71"/>
          <w:spacing w:val="-6"/>
        </w:rPr>
        <w:t> </w:t>
      </w:r>
      <w:hyperlink w:history="true" w:anchor="_bookmark7">
        <w:r>
          <w:rPr>
            <w:color w:val="6D6E71"/>
          </w:rPr>
          <w:t>2018a</w:t>
        </w:r>
      </w:hyperlink>
      <w:r>
        <w:rPr>
          <w:color w:val="231F20"/>
        </w:rPr>
        <w:t>;</w:t>
      </w:r>
      <w:r>
        <w:rPr>
          <w:color w:val="231F20"/>
          <w:spacing w:val="-8"/>
        </w:rPr>
        <w:t> </w:t>
      </w:r>
      <w:hyperlink w:history="true" w:anchor="_bookmark20">
        <w:r>
          <w:rPr>
            <w:color w:val="6D6E71"/>
          </w:rPr>
          <w:t>Burger</w:t>
        </w:r>
        <w:r>
          <w:rPr>
            <w:color w:val="6D6E71"/>
            <w:spacing w:val="-8"/>
          </w:rPr>
          <w:t> </w:t>
        </w:r>
        <w:r>
          <w:rPr>
            <w:color w:val="6D6E71"/>
          </w:rPr>
          <w:t>and</w:t>
        </w:r>
        <w:r>
          <w:rPr>
            <w:color w:val="6D6E71"/>
            <w:spacing w:val="-6"/>
          </w:rPr>
          <w:t> </w:t>
        </w:r>
        <w:r>
          <w:rPr>
            <w:color w:val="6D6E71"/>
            <w:spacing w:val="-3"/>
          </w:rPr>
          <w:t>Verkuil</w:t>
        </w:r>
      </w:hyperlink>
      <w:r>
        <w:rPr>
          <w:color w:val="6D6E71"/>
          <w:spacing w:val="-3"/>
        </w:rPr>
        <w:t>, </w:t>
      </w:r>
      <w:hyperlink w:history="true" w:anchor="_bookmark20">
        <w:r>
          <w:rPr>
            <w:color w:val="6D6E71"/>
          </w:rPr>
          <w:t>2018</w:t>
        </w:r>
      </w:hyperlink>
      <w:r>
        <w:rPr>
          <w:color w:val="231F20"/>
        </w:rPr>
        <w:t>). A potential recruitment of these nerves would suggest that mechanisms may be involved for tragal stimulation </w:t>
      </w:r>
      <w:r>
        <w:rPr>
          <w:color w:val="231F20"/>
          <w:spacing w:val="-3"/>
        </w:rPr>
        <w:t>beyond </w:t>
      </w:r>
      <w:r>
        <w:rPr>
          <w:color w:val="231F20"/>
        </w:rPr>
        <w:t>those anticipated for  the  sole  aVN  stimulation.  </w:t>
      </w:r>
      <w:r>
        <w:rPr>
          <w:color w:val="231F20"/>
          <w:spacing w:val="-2"/>
        </w:rPr>
        <w:t>Potentially,  </w:t>
      </w:r>
      <w:r>
        <w:rPr>
          <w:color w:val="231F20"/>
        </w:rPr>
        <w:t>the afferent and concomitant stimulation of vagal and </w:t>
      </w:r>
      <w:r>
        <w:rPr>
          <w:color w:val="231F20"/>
          <w:spacing w:val="-3"/>
        </w:rPr>
        <w:t>non-  </w:t>
      </w:r>
      <w:r>
        <w:rPr>
          <w:color w:val="231F20"/>
        </w:rPr>
        <w:t>vagal endings synergize each other. Only the  cymba  concha  was found so far to be solely innervated by aVN (</w:t>
      </w:r>
      <w:hyperlink w:history="true" w:anchor="_bookmark73">
        <w:r>
          <w:rPr>
            <w:color w:val="6D6E71"/>
          </w:rPr>
          <w:t>Peuker </w:t>
        </w:r>
        <w:r>
          <w:rPr>
            <w:color w:val="6D6E71"/>
            <w:spacing w:val="-5"/>
          </w:rPr>
          <w:t>and</w:t>
        </w:r>
      </w:hyperlink>
      <w:r>
        <w:rPr>
          <w:color w:val="6D6E71"/>
          <w:spacing w:val="-5"/>
        </w:rPr>
        <w:t> </w:t>
      </w:r>
      <w:hyperlink w:history="true" w:anchor="_bookmark73">
        <w:r>
          <w:rPr>
            <w:color w:val="6D6E71"/>
          </w:rPr>
          <w:t>Filler</w:t>
        </w:r>
      </w:hyperlink>
      <w:r>
        <w:rPr>
          <w:color w:val="6D6E71"/>
        </w:rPr>
        <w:t>, </w:t>
      </w:r>
      <w:hyperlink w:history="true" w:anchor="_bookmark73">
        <w:r>
          <w:rPr>
            <w:color w:val="6D6E71"/>
          </w:rPr>
          <w:t>2002</w:t>
        </w:r>
      </w:hyperlink>
      <w:r>
        <w:rPr>
          <w:color w:val="231F20"/>
        </w:rPr>
        <w:t>) with the associated maximum activation of </w:t>
      </w:r>
      <w:r>
        <w:rPr>
          <w:color w:val="231F20"/>
          <w:spacing w:val="-4"/>
        </w:rPr>
        <w:t>vagal </w:t>
      </w:r>
      <w:r>
        <w:rPr>
          <w:color w:val="231F20"/>
        </w:rPr>
        <w:t>projections in NTS during stimulation, as compared to </w:t>
      </w:r>
      <w:r>
        <w:rPr>
          <w:color w:val="231F20"/>
          <w:spacing w:val="-4"/>
        </w:rPr>
        <w:t>tragus, </w:t>
      </w:r>
      <w:r>
        <w:rPr>
          <w:color w:val="231F20"/>
        </w:rPr>
        <w:t>cavum concha, or earlobe stimulation </w:t>
      </w:r>
      <w:r>
        <w:rPr>
          <w:color w:val="231F20"/>
          <w:spacing w:val="-3"/>
        </w:rPr>
        <w:t>(</w:t>
      </w:r>
      <w:hyperlink w:history="true" w:anchor="_bookmark108">
        <w:r>
          <w:rPr>
            <w:color w:val="6D6E71"/>
            <w:spacing w:val="-3"/>
          </w:rPr>
          <w:t>Yakunina </w:t>
        </w:r>
        <w:r>
          <w:rPr>
            <w:color w:val="6D6E71"/>
          </w:rPr>
          <w:t>et al.</w:t>
        </w:r>
      </w:hyperlink>
      <w:r>
        <w:rPr>
          <w:color w:val="6D6E71"/>
        </w:rPr>
        <w:t>, </w:t>
      </w:r>
      <w:hyperlink w:history="true" w:anchor="_bookmark108">
        <w:r>
          <w:rPr>
            <w:color w:val="6D6E71"/>
          </w:rPr>
          <w:t>2016</w:t>
        </w:r>
      </w:hyperlink>
      <w:r>
        <w:rPr>
          <w:color w:val="231F20"/>
        </w:rPr>
        <w:t>). However, the cymba concha offers some disadvantages in terms of complexity of electrical stimulation by requiring to </w:t>
      </w:r>
      <w:r>
        <w:rPr>
          <w:color w:val="231F20"/>
          <w:spacing w:val="-3"/>
        </w:rPr>
        <w:t>insert </w:t>
      </w:r>
      <w:r>
        <w:rPr>
          <w:color w:val="231F20"/>
        </w:rPr>
        <w:t>and/or to hold an electrode against the concha, as opposed </w:t>
      </w:r>
      <w:r>
        <w:rPr>
          <w:color w:val="231F20"/>
          <w:spacing w:val="-8"/>
        </w:rPr>
        <w:t>to </w:t>
      </w:r>
      <w:r>
        <w:rPr>
          <w:color w:val="231F20"/>
        </w:rPr>
        <w:t>having to clip onto the tragus. These uncertainties impede a proper interpretation of stimulation effects while an </w:t>
      </w:r>
      <w:r>
        <w:rPr>
          <w:color w:val="231F20"/>
          <w:spacing w:val="-3"/>
        </w:rPr>
        <w:t>optimal </w:t>
      </w:r>
      <w:r>
        <w:rPr>
          <w:color w:val="231F20"/>
        </w:rPr>
        <w:t>target for the auricular stimulation is still under debate (</w:t>
      </w:r>
      <w:hyperlink w:history="true" w:anchor="_bookmark7">
        <w:r>
          <w:rPr>
            <w:color w:val="6D6E71"/>
          </w:rPr>
          <w:t>Badran</w:t>
        </w:r>
      </w:hyperlink>
      <w:r>
        <w:rPr>
          <w:color w:val="6D6E71"/>
        </w:rPr>
        <w:t> </w:t>
      </w:r>
      <w:hyperlink w:history="true" w:anchor="_bookmark7">
        <w:r>
          <w:rPr>
            <w:color w:val="6D6E71"/>
          </w:rPr>
          <w:t>et al.</w:t>
        </w:r>
      </w:hyperlink>
      <w:r>
        <w:rPr>
          <w:color w:val="6D6E71"/>
        </w:rPr>
        <w:t>, </w:t>
      </w:r>
      <w:hyperlink w:history="true" w:anchor="_bookmark7">
        <w:r>
          <w:rPr>
            <w:color w:val="6D6E71"/>
          </w:rPr>
          <w:t>2018a</w:t>
        </w:r>
      </w:hyperlink>
      <w:r>
        <w:rPr>
          <w:color w:val="231F20"/>
        </w:rPr>
        <w:t>; </w:t>
      </w:r>
      <w:hyperlink w:history="true" w:anchor="_bookmark20">
        <w:r>
          <w:rPr>
            <w:color w:val="6D6E71"/>
          </w:rPr>
          <w:t>Burger and Verkuil</w:t>
        </w:r>
      </w:hyperlink>
      <w:r>
        <w:rPr>
          <w:color w:val="6D6E71"/>
        </w:rPr>
        <w:t>,</w:t>
      </w:r>
      <w:r>
        <w:rPr>
          <w:color w:val="6D6E71"/>
          <w:spacing w:val="-1"/>
        </w:rPr>
        <w:t> </w:t>
      </w:r>
      <w:hyperlink w:history="true" w:anchor="_bookmark20">
        <w:r>
          <w:rPr>
            <w:color w:val="6D6E71"/>
          </w:rPr>
          <w:t>2018</w:t>
        </w:r>
      </w:hyperlink>
      <w:r>
        <w:rPr>
          <w:color w:val="231F20"/>
        </w:rPr>
        <w:t>).</w:t>
      </w:r>
    </w:p>
    <w:p>
      <w:pPr>
        <w:pStyle w:val="BodyText"/>
        <w:spacing w:line="211" w:lineRule="auto" w:before="21"/>
        <w:ind w:firstLine="229"/>
        <w:jc w:val="both"/>
      </w:pPr>
      <w:r>
        <w:rPr>
          <w:color w:val="231F20"/>
        </w:rPr>
        <w:t>Another</w:t>
      </w:r>
      <w:r>
        <w:rPr>
          <w:color w:val="231F20"/>
          <w:spacing w:val="-6"/>
        </w:rPr>
        <w:t> </w:t>
      </w:r>
      <w:r>
        <w:rPr>
          <w:color w:val="231F20"/>
        </w:rPr>
        <w:t>important</w:t>
      </w:r>
      <w:r>
        <w:rPr>
          <w:color w:val="231F20"/>
          <w:spacing w:val="-5"/>
        </w:rPr>
        <w:t> </w:t>
      </w:r>
      <w:r>
        <w:rPr>
          <w:color w:val="231F20"/>
        </w:rPr>
        <w:t>question</w:t>
      </w:r>
      <w:r>
        <w:rPr>
          <w:color w:val="231F20"/>
          <w:spacing w:val="-5"/>
        </w:rPr>
        <w:t> </w:t>
      </w:r>
      <w:r>
        <w:rPr>
          <w:color w:val="231F20"/>
        </w:rPr>
        <w:t>here</w:t>
      </w:r>
      <w:r>
        <w:rPr>
          <w:color w:val="231F20"/>
          <w:spacing w:val="-5"/>
        </w:rPr>
        <w:t> </w:t>
      </w:r>
      <w:r>
        <w:rPr>
          <w:color w:val="231F20"/>
        </w:rPr>
        <w:t>is</w:t>
      </w:r>
      <w:r>
        <w:rPr>
          <w:color w:val="231F20"/>
          <w:spacing w:val="-5"/>
        </w:rPr>
        <w:t> </w:t>
      </w:r>
      <w:r>
        <w:rPr>
          <w:color w:val="231F20"/>
        </w:rPr>
        <w:t>how</w:t>
      </w:r>
      <w:r>
        <w:rPr>
          <w:color w:val="231F20"/>
          <w:spacing w:val="-5"/>
        </w:rPr>
        <w:t> </w:t>
      </w:r>
      <w:r>
        <w:rPr>
          <w:color w:val="231F20"/>
        </w:rPr>
        <w:t>to</w:t>
      </w:r>
      <w:r>
        <w:rPr>
          <w:color w:val="231F20"/>
          <w:spacing w:val="-5"/>
        </w:rPr>
        <w:t> </w:t>
      </w:r>
      <w:r>
        <w:rPr>
          <w:color w:val="231F20"/>
        </w:rPr>
        <w:t>find</w:t>
      </w:r>
      <w:r>
        <w:rPr>
          <w:color w:val="231F20"/>
          <w:spacing w:val="-5"/>
        </w:rPr>
        <w:t> </w:t>
      </w:r>
      <w:r>
        <w:rPr>
          <w:color w:val="231F20"/>
        </w:rPr>
        <w:t>the</w:t>
      </w:r>
      <w:r>
        <w:rPr>
          <w:color w:val="231F20"/>
          <w:spacing w:val="-5"/>
        </w:rPr>
        <w:t> </w:t>
      </w:r>
      <w:r>
        <w:rPr>
          <w:color w:val="231F20"/>
        </w:rPr>
        <w:t>individual aVN fibers in the ear and thus optimal regions for </w:t>
      </w:r>
      <w:r>
        <w:rPr>
          <w:color w:val="231F20"/>
          <w:spacing w:val="-3"/>
        </w:rPr>
        <w:t>needles </w:t>
      </w:r>
      <w:r>
        <w:rPr>
          <w:color w:val="231F20"/>
        </w:rPr>
        <w:t>placement. In fact, aVN fibers and their bundles are too thin </w:t>
      </w:r>
      <w:r>
        <w:rPr>
          <w:color w:val="231F20"/>
          <w:spacing w:val="-14"/>
        </w:rPr>
        <w:t>– </w:t>
      </w:r>
      <w:r>
        <w:rPr>
          <w:color w:val="231F20"/>
          <w:spacing w:val="15"/>
        </w:rPr>
        <w:t> </w:t>
      </w:r>
      <w:r>
        <w:rPr>
          <w:color w:val="231F20"/>
        </w:rPr>
        <w:t>in the submillimetre range (</w:t>
      </w:r>
      <w:r>
        <w:rPr>
          <w:rFonts w:ascii="Verdana Pro Light" w:hAnsi="Verdana Pro Light"/>
          <w:b w:val="0"/>
          <w:i/>
          <w:color w:val="231F20"/>
        </w:rPr>
        <w:t>&lt;</w:t>
      </w:r>
      <w:r>
        <w:rPr>
          <w:color w:val="231F20"/>
        </w:rPr>
        <w:t>100  </w:t>
      </w:r>
      <w:r>
        <w:rPr>
          <w:rFonts w:ascii="Arial Black" w:hAnsi="Arial Black"/>
          <w:color w:val="231F20"/>
        </w:rPr>
        <w:t>µ</w:t>
      </w:r>
      <w:r>
        <w:rPr>
          <w:color w:val="231F20"/>
        </w:rPr>
        <w:t>m),  see  </w:t>
      </w:r>
      <w:hyperlink w:history="true" w:anchor="_bookmark2">
        <w:r>
          <w:rPr>
            <w:b/>
            <w:color w:val="231F20"/>
          </w:rPr>
          <w:t>Figure  2C</w:t>
        </w:r>
      </w:hyperlink>
      <w:r>
        <w:rPr>
          <w:b/>
          <w:color w:val="231F20"/>
        </w:rPr>
        <w:t>  </w:t>
      </w:r>
      <w:r>
        <w:rPr>
          <w:color w:val="231F20"/>
        </w:rPr>
        <w:t>–  to  be recognized visually by the unaided </w:t>
      </w:r>
      <w:r>
        <w:rPr>
          <w:color w:val="231F20"/>
          <w:spacing w:val="-3"/>
        </w:rPr>
        <w:t>applicant’s </w:t>
      </w:r>
      <w:r>
        <w:rPr>
          <w:color w:val="231F20"/>
        </w:rPr>
        <w:t>eye. We </w:t>
      </w:r>
      <w:r>
        <w:rPr>
          <w:color w:val="231F20"/>
          <w:spacing w:val="-6"/>
        </w:rPr>
        <w:t>have </w:t>
      </w:r>
      <w:r>
        <w:rPr>
          <w:color w:val="231F20"/>
        </w:rPr>
        <w:t>proposed (</w:t>
      </w:r>
      <w:hyperlink w:history="true" w:anchor="_bookmark51">
        <w:r>
          <w:rPr>
            <w:color w:val="6D6E71"/>
          </w:rPr>
          <w:t>Kaniusas  et  al.</w:t>
        </w:r>
      </w:hyperlink>
      <w:r>
        <w:rPr>
          <w:color w:val="6D6E71"/>
        </w:rPr>
        <w:t>,  </w:t>
      </w:r>
      <w:hyperlink w:history="true" w:anchor="_bookmark51">
        <w:r>
          <w:rPr>
            <w:color w:val="6D6E71"/>
          </w:rPr>
          <w:t>2011</w:t>
        </w:r>
      </w:hyperlink>
      <w:r>
        <w:rPr>
          <w:color w:val="231F20"/>
        </w:rPr>
        <w:t>)  to  find  these  fibers  </w:t>
      </w:r>
      <w:r>
        <w:rPr>
          <w:color w:val="231F20"/>
          <w:spacing w:val="-4"/>
        </w:rPr>
        <w:t>based</w:t>
      </w:r>
      <w:r>
        <w:rPr>
          <w:color w:val="231F20"/>
          <w:spacing w:val="35"/>
        </w:rPr>
        <w:t> </w:t>
      </w:r>
      <w:r>
        <w:rPr>
          <w:color w:val="231F20"/>
        </w:rPr>
        <w:t>on the associated auricular blood vessels (</w:t>
      </w:r>
      <w:hyperlink w:history="true" w:anchor="_bookmark6">
        <w:r>
          <w:rPr>
            <w:color w:val="6D6E71"/>
          </w:rPr>
          <w:t>Alvord and </w:t>
        </w:r>
        <w:r>
          <w:rPr>
            <w:color w:val="6D6E71"/>
            <w:spacing w:val="-3"/>
          </w:rPr>
          <w:t>Farmer</w:t>
        </w:r>
      </w:hyperlink>
      <w:r>
        <w:rPr>
          <w:color w:val="6D6E71"/>
          <w:spacing w:val="-3"/>
        </w:rPr>
        <w:t>, </w:t>
      </w:r>
      <w:hyperlink w:history="true" w:anchor="_bookmark6">
        <w:r>
          <w:rPr>
            <w:color w:val="6D6E71"/>
          </w:rPr>
          <w:t>1998</w:t>
        </w:r>
      </w:hyperlink>
      <w:r>
        <w:rPr>
          <w:color w:val="231F20"/>
        </w:rPr>
        <w:t>; </w:t>
      </w:r>
      <w:hyperlink w:history="true" w:anchor="_bookmark105">
        <w:r>
          <w:rPr>
            <w:color w:val="6D6E71"/>
          </w:rPr>
          <w:t>Tilotta et al.</w:t>
        </w:r>
      </w:hyperlink>
      <w:r>
        <w:rPr>
          <w:color w:val="6D6E71"/>
        </w:rPr>
        <w:t>, </w:t>
      </w:r>
      <w:hyperlink w:history="true" w:anchor="_bookmark105">
        <w:r>
          <w:rPr>
            <w:color w:val="6D6E71"/>
          </w:rPr>
          <w:t>2008</w:t>
        </w:r>
      </w:hyperlink>
      <w:r>
        <w:rPr>
          <w:color w:val="231F20"/>
        </w:rPr>
        <w:t>) since fibers and blood vessels  </w:t>
      </w:r>
      <w:r>
        <w:rPr>
          <w:color w:val="231F20"/>
          <w:spacing w:val="-4"/>
        </w:rPr>
        <w:t>are</w:t>
      </w:r>
      <w:r>
        <w:rPr>
          <w:color w:val="231F20"/>
          <w:spacing w:val="35"/>
        </w:rPr>
        <w:t> </w:t>
      </w:r>
      <w:r>
        <w:rPr>
          <w:color w:val="231F20"/>
        </w:rPr>
        <w:t>wired together, often alongside one another (</w:t>
      </w:r>
      <w:hyperlink w:history="true" w:anchor="_bookmark22">
        <w:r>
          <w:rPr>
            <w:color w:val="6D6E71"/>
          </w:rPr>
          <w:t>Carmeliet </w:t>
        </w:r>
        <w:r>
          <w:rPr>
            <w:color w:val="6D6E71"/>
            <w:spacing w:val="-5"/>
          </w:rPr>
          <w:t>and</w:t>
        </w:r>
      </w:hyperlink>
      <w:r>
        <w:rPr>
          <w:color w:val="6D6E71"/>
          <w:spacing w:val="-5"/>
        </w:rPr>
        <w:t> </w:t>
      </w:r>
      <w:hyperlink w:history="true" w:anchor="_bookmark22">
        <w:r>
          <w:rPr>
            <w:color w:val="6D6E71"/>
          </w:rPr>
          <w:t>Tessier-Lavigne</w:t>
        </w:r>
      </w:hyperlink>
      <w:r>
        <w:rPr>
          <w:color w:val="6D6E71"/>
        </w:rPr>
        <w:t>, </w:t>
      </w:r>
      <w:hyperlink w:history="true" w:anchor="_bookmark22">
        <w:r>
          <w:rPr>
            <w:color w:val="6D6E71"/>
          </w:rPr>
          <w:t>2005</w:t>
        </w:r>
      </w:hyperlink>
      <w:r>
        <w:rPr>
          <w:color w:val="231F20"/>
        </w:rPr>
        <w:t>), even in the auricle (</w:t>
      </w:r>
      <w:hyperlink w:history="true" w:anchor="_bookmark82">
        <w:r>
          <w:rPr>
            <w:color w:val="6D6E71"/>
          </w:rPr>
          <w:t>Razlighi et al.</w:t>
        </w:r>
      </w:hyperlink>
      <w:r>
        <w:rPr>
          <w:color w:val="6D6E71"/>
        </w:rPr>
        <w:t>, </w:t>
      </w:r>
      <w:hyperlink w:history="true" w:anchor="_bookmark82">
        <w:r>
          <w:rPr>
            <w:color w:val="6D6E71"/>
          </w:rPr>
          <w:t>2018</w:t>
        </w:r>
      </w:hyperlink>
      <w:r>
        <w:rPr>
          <w:color w:val="231F20"/>
        </w:rPr>
        <w:t>). </w:t>
      </w:r>
      <w:hyperlink w:history="true" w:anchor="_bookmark2">
        <w:r>
          <w:rPr>
            <w:b/>
            <w:color w:val="231F20"/>
          </w:rPr>
          <w:t>Figures 2B,C </w:t>
        </w:r>
      </w:hyperlink>
      <w:r>
        <w:rPr>
          <w:color w:val="231F20"/>
        </w:rPr>
        <w:t>illustrate the joint proliferation of auricular </w:t>
      </w:r>
      <w:r>
        <w:rPr>
          <w:color w:val="231F20"/>
          <w:spacing w:val="-3"/>
        </w:rPr>
        <w:t>vessels </w:t>
      </w:r>
      <w:r>
        <w:rPr>
          <w:color w:val="231F20"/>
        </w:rPr>
        <w:t>and nerves – based on episcopic images – with a separation distance of up to about 200 </w:t>
      </w:r>
      <w:r>
        <w:rPr>
          <w:rFonts w:ascii="Arial Black" w:hAnsi="Arial Black"/>
          <w:color w:val="231F20"/>
        </w:rPr>
        <w:t>µ</w:t>
      </w:r>
      <w:r>
        <w:rPr>
          <w:color w:val="231F20"/>
        </w:rPr>
        <w:t>m in this</w:t>
      </w:r>
      <w:r>
        <w:rPr>
          <w:color w:val="231F20"/>
          <w:spacing w:val="-1"/>
        </w:rPr>
        <w:t> </w:t>
      </w:r>
      <w:r>
        <w:rPr>
          <w:color w:val="231F20"/>
        </w:rPr>
        <w:t>example.</w:t>
      </w:r>
    </w:p>
    <w:p>
      <w:pPr>
        <w:pStyle w:val="BodyText"/>
        <w:spacing w:line="211" w:lineRule="auto" w:before="2"/>
        <w:ind w:firstLine="229"/>
        <w:jc w:val="both"/>
      </w:pPr>
      <w:r>
        <w:rPr/>
        <w:pict>
          <v:shape style="position:absolute;margin-left:54.29245pt;margin-top:91.312126pt;width:239.6pt;height:11.5pt;mso-position-horizontal-relative:page;mso-position-vertical-relative:paragraph;z-index:1816" type="#_x0000_t202" filled="true" fillcolor="#fde164" stroked="false">
            <v:textbox inset="0,0,0,0">
              <w:txbxContent>
                <w:p>
                  <w:pPr>
                    <w:pStyle w:val="BodyText"/>
                    <w:spacing w:line="229" w:lineRule="exact"/>
                    <w:ind w:left="42"/>
                  </w:pPr>
                  <w:r>
                    <w:rPr>
                      <w:color w:val="231F20"/>
                    </w:rPr>
                    <w:t>Lastly, stimulation of the left or right aVN cannot be expected</w:t>
                  </w:r>
                </w:p>
              </w:txbxContent>
            </v:textbox>
            <v:fill opacity="26214f" type="solid"/>
            <w10:wrap type="none"/>
          </v:shape>
        </w:pict>
      </w:r>
      <w:r>
        <w:rPr>
          <w:color w:val="231F20"/>
        </w:rPr>
        <w:t>A special transillumination method was designed to visualize auricular vessels to the </w:t>
      </w:r>
      <w:r>
        <w:rPr>
          <w:color w:val="231F20"/>
          <w:spacing w:val="-3"/>
        </w:rPr>
        <w:t>applicant’s </w:t>
      </w:r>
      <w:r>
        <w:rPr>
          <w:color w:val="231F20"/>
        </w:rPr>
        <w:t>eye while making use of </w:t>
      </w:r>
      <w:r>
        <w:rPr>
          <w:color w:val="231F20"/>
          <w:spacing w:val="-5"/>
        </w:rPr>
        <w:t>the </w:t>
      </w:r>
      <w:r>
        <w:rPr>
          <w:color w:val="231F20"/>
        </w:rPr>
        <w:t>different optical properties of blood vessels and the surrounding tissues (</w:t>
      </w:r>
      <w:hyperlink w:history="true" w:anchor="_bookmark51">
        <w:r>
          <w:rPr>
            <w:color w:val="6D6E71"/>
          </w:rPr>
          <w:t>Kaniusas et al.</w:t>
        </w:r>
      </w:hyperlink>
      <w:r>
        <w:rPr>
          <w:color w:val="6D6E71"/>
        </w:rPr>
        <w:t>, </w:t>
      </w:r>
      <w:hyperlink w:history="true" w:anchor="_bookmark51">
        <w:r>
          <w:rPr>
            <w:color w:val="6D6E71"/>
          </w:rPr>
          <w:t>2011</w:t>
        </w:r>
      </w:hyperlink>
      <w:r>
        <w:rPr>
          <w:color w:val="231F20"/>
        </w:rPr>
        <w:t>). In clinical practice, </w:t>
      </w:r>
      <w:r>
        <w:rPr>
          <w:color w:val="231F20"/>
          <w:spacing w:val="-3"/>
        </w:rPr>
        <w:t>easily </w:t>
      </w:r>
      <w:r>
        <w:rPr>
          <w:color w:val="231F20"/>
        </w:rPr>
        <w:t>discernible</w:t>
      </w:r>
      <w:r>
        <w:rPr>
          <w:color w:val="231F20"/>
          <w:spacing w:val="-6"/>
        </w:rPr>
        <w:t> </w:t>
      </w:r>
      <w:r>
        <w:rPr>
          <w:color w:val="231F20"/>
        </w:rPr>
        <w:t>vessels</w:t>
      </w:r>
      <w:r>
        <w:rPr>
          <w:color w:val="231F20"/>
          <w:spacing w:val="-5"/>
        </w:rPr>
        <w:t> </w:t>
      </w:r>
      <w:r>
        <w:rPr>
          <w:color w:val="231F20"/>
        </w:rPr>
        <w:t>(</w:t>
      </w:r>
      <w:r>
        <w:rPr>
          <w:rFonts w:ascii="Verdana Pro Light" w:hAnsi="Verdana Pro Light"/>
          <w:b w:val="0"/>
          <w:i/>
          <w:color w:val="231F20"/>
        </w:rPr>
        <w:t>&lt;</w:t>
      </w:r>
      <w:r>
        <w:rPr>
          <w:color w:val="231F20"/>
        </w:rPr>
        <w:t>500</w:t>
      </w:r>
      <w:r>
        <w:rPr>
          <w:color w:val="231F20"/>
          <w:spacing w:val="-5"/>
        </w:rPr>
        <w:t> </w:t>
      </w:r>
      <w:r>
        <w:rPr>
          <w:rFonts w:ascii="Arial Black" w:hAnsi="Arial Black"/>
          <w:color w:val="231F20"/>
        </w:rPr>
        <w:t>µ</w:t>
      </w:r>
      <w:r>
        <w:rPr>
          <w:color w:val="231F20"/>
        </w:rPr>
        <w:t>m</w:t>
      </w:r>
      <w:r>
        <w:rPr>
          <w:color w:val="231F20"/>
          <w:spacing w:val="-6"/>
        </w:rPr>
        <w:t> </w:t>
      </w:r>
      <w:r>
        <w:rPr>
          <w:color w:val="231F20"/>
        </w:rPr>
        <w:t>in</w:t>
      </w:r>
      <w:r>
        <w:rPr>
          <w:color w:val="231F20"/>
          <w:spacing w:val="-5"/>
        </w:rPr>
        <w:t> </w:t>
      </w:r>
      <w:r>
        <w:rPr>
          <w:color w:val="231F20"/>
        </w:rPr>
        <w:t>auricle)</w:t>
      </w:r>
      <w:r>
        <w:rPr>
          <w:color w:val="231F20"/>
          <w:spacing w:val="-5"/>
        </w:rPr>
        <w:t> </w:t>
      </w:r>
      <w:r>
        <w:rPr>
          <w:color w:val="231F20"/>
        </w:rPr>
        <w:t>indicate</w:t>
      </w:r>
      <w:r>
        <w:rPr>
          <w:color w:val="231F20"/>
          <w:spacing w:val="-6"/>
        </w:rPr>
        <w:t> </w:t>
      </w:r>
      <w:r>
        <w:rPr>
          <w:color w:val="231F20"/>
        </w:rPr>
        <w:t>to</w:t>
      </w:r>
      <w:r>
        <w:rPr>
          <w:color w:val="231F20"/>
          <w:spacing w:val="-5"/>
        </w:rPr>
        <w:t> </w:t>
      </w:r>
      <w:r>
        <w:rPr>
          <w:color w:val="231F20"/>
        </w:rPr>
        <w:t>the</w:t>
      </w:r>
      <w:r>
        <w:rPr>
          <w:color w:val="231F20"/>
          <w:spacing w:val="-5"/>
        </w:rPr>
        <w:t> </w:t>
      </w:r>
      <w:r>
        <w:rPr>
          <w:color w:val="231F20"/>
        </w:rPr>
        <w:t>physician the most likely regions of local bundles of nerve fibers which   are indistinguishable to the human eye. </w:t>
      </w:r>
      <w:hyperlink w:history="true" w:anchor="_bookmark2">
        <w:r>
          <w:rPr>
            <w:b/>
            <w:color w:val="231F20"/>
          </w:rPr>
          <w:t>Figure 2D</w:t>
        </w:r>
      </w:hyperlink>
      <w:r>
        <w:rPr>
          <w:b/>
          <w:color w:val="231F20"/>
        </w:rPr>
        <w:t> </w:t>
      </w:r>
      <w:r>
        <w:rPr>
          <w:color w:val="231F20"/>
          <w:spacing w:val="-3"/>
        </w:rPr>
        <w:t>illustrates </w:t>
      </w:r>
      <w:r>
        <w:rPr>
          <w:color w:val="231F20"/>
        </w:rPr>
        <w:t>transilluminated ear with clearly visible auricular blood</w:t>
      </w:r>
      <w:r>
        <w:rPr>
          <w:color w:val="231F20"/>
          <w:spacing w:val="-2"/>
        </w:rPr>
        <w:t> </w:t>
      </w:r>
      <w:r>
        <w:rPr>
          <w:color w:val="231F20"/>
        </w:rPr>
        <w:t>vessels.</w:t>
      </w:r>
    </w:p>
    <w:p>
      <w:pPr>
        <w:pStyle w:val="BodyText"/>
        <w:spacing w:before="7"/>
        <w:ind w:left="0"/>
        <w:rPr>
          <w:sz w:val="16"/>
        </w:rPr>
      </w:pPr>
    </w:p>
    <w:p>
      <w:pPr>
        <w:pStyle w:val="BodyText"/>
        <w:ind w:left="116" w:right="-101"/>
        <w:rPr>
          <w:sz w:val="20"/>
        </w:rPr>
      </w:pPr>
      <w:r>
        <w:rPr>
          <w:sz w:val="20"/>
        </w:rPr>
        <w:pict>
          <v:shape style="width:251.05pt;height:23.6pt;mso-position-horizontal-relative:char;mso-position-vertical-relative:line" type="#_x0000_t202" filled="true" fillcolor="#fde164" stroked="false">
            <w10:anchorlock/>
            <v:textbox inset="0,0,0,0">
              <w:txbxContent>
                <w:p>
                  <w:pPr>
                    <w:pStyle w:val="BodyText"/>
                    <w:spacing w:line="213" w:lineRule="auto" w:before="7"/>
                    <w:ind w:left="42"/>
                  </w:pPr>
                  <w:r>
                    <w:rPr>
                      <w:color w:val="231F20"/>
                    </w:rPr>
                    <w:t>to yield different physiological effects since afferent information from both sides are centrally merged in the brainstem (</w:t>
                  </w:r>
                  <w:hyperlink w:history="true" w:anchor="_bookmark23">
                    <w:r>
                      <w:rPr>
                        <w:color w:val="6D6E71"/>
                      </w:rPr>
                      <w:t>Chen</w:t>
                    </w:r>
                  </w:hyperlink>
                </w:p>
              </w:txbxContent>
            </v:textbox>
            <v:fill opacity="26214f" type="solid"/>
          </v:shape>
        </w:pict>
      </w:r>
      <w:r>
        <w:rPr>
          <w:sz w:val="20"/>
        </w:rPr>
      </w:r>
    </w:p>
    <w:p>
      <w:pPr>
        <w:pStyle w:val="BodyText"/>
        <w:spacing w:line="213" w:lineRule="auto"/>
        <w:ind w:firstLine="965"/>
        <w:jc w:val="both"/>
      </w:pPr>
      <w:r>
        <w:rPr/>
        <w:pict>
          <v:shape style="position:absolute;margin-left:66.081848pt;margin-top:45.478088pt;width:227.8pt;height:11.5pt;mso-position-horizontal-relative:page;mso-position-vertical-relative:paragraph;z-index:-41776" type="#_x0000_t202" filled="true" fillcolor="#fde164" stroked="false">
            <v:textbox inset="0,0,0,0">
              <w:txbxContent>
                <w:p>
                  <w:pPr>
                    <w:pStyle w:val="BodyText"/>
                    <w:spacing w:line="229" w:lineRule="exact"/>
                    <w:ind w:left="42"/>
                  </w:pPr>
                  <w:r>
                    <w:rPr>
                      <w:color w:val="231F20"/>
                    </w:rPr>
                    <w:t>However, simultaneous activation of the left and right aVN</w:t>
                  </w:r>
                </w:p>
              </w:txbxContent>
            </v:textbox>
            <v:fill opacity="26214f" type="solid"/>
            <w10:wrap type="none"/>
          </v:shape>
        </w:pict>
      </w:r>
      <w:r>
        <w:rPr/>
        <w:pict>
          <v:shape style="position:absolute;margin-left:42.835449pt;margin-top:.324389pt;width:52.6pt;height:11.5pt;mso-position-horizontal-relative:page;mso-position-vertical-relative:paragraph;z-index:-41680" type="#_x0000_t202" filled="true" fillcolor="#fde164" stroked="false">
            <v:textbox inset="0,0,0,0">
              <w:txbxContent>
                <w:p>
                  <w:pPr>
                    <w:pStyle w:val="BodyText"/>
                    <w:spacing w:line="229" w:lineRule="exact"/>
                    <w:ind w:left="42"/>
                  </w:pPr>
                  <w:hyperlink w:history="true" w:anchor="_bookmark23">
                    <w:r>
                      <w:rPr>
                        <w:color w:val="6D6E71"/>
                      </w:rPr>
                      <w:t>et al.</w:t>
                    </w:r>
                  </w:hyperlink>
                  <w:r>
                    <w:rPr>
                      <w:color w:val="6D6E71"/>
                    </w:rPr>
                    <w:t>, </w:t>
                  </w:r>
                  <w:hyperlink w:history="true" w:anchor="_bookmark23">
                    <w:r>
                      <w:rPr>
                        <w:color w:val="6D6E71"/>
                      </w:rPr>
                      <w:t>2015</w:t>
                    </w:r>
                  </w:hyperlink>
                  <w:r>
                    <w:rPr>
                      <w:color w:val="231F20"/>
                    </w:rPr>
                    <w:t>).</w:t>
                  </w:r>
                </w:p>
              </w:txbxContent>
            </v:textbox>
            <v:fill opacity="26214f" type="solid"/>
            <w10:wrap type="none"/>
          </v:shape>
        </w:pict>
      </w:r>
      <w:r>
        <w:rPr>
          <w:color w:val="231F20"/>
        </w:rPr>
        <w:t>This is in clear contrast to the invasive cervical VNS with</w:t>
      </w:r>
      <w:r>
        <w:rPr>
          <w:color w:val="231F20"/>
          <w:spacing w:val="-7"/>
        </w:rPr>
        <w:t> </w:t>
      </w:r>
      <w:r>
        <w:rPr>
          <w:color w:val="231F20"/>
        </w:rPr>
        <w:t>dominant</w:t>
      </w:r>
      <w:r>
        <w:rPr>
          <w:color w:val="231F20"/>
          <w:spacing w:val="-7"/>
        </w:rPr>
        <w:t> </w:t>
      </w:r>
      <w:r>
        <w:rPr>
          <w:color w:val="231F20"/>
        </w:rPr>
        <w:t>lateral</w:t>
      </w:r>
      <w:r>
        <w:rPr>
          <w:color w:val="231F20"/>
          <w:spacing w:val="-7"/>
        </w:rPr>
        <w:t> </w:t>
      </w:r>
      <w:r>
        <w:rPr>
          <w:color w:val="231F20"/>
        </w:rPr>
        <w:t>effects,</w:t>
      </w:r>
      <w:r>
        <w:rPr>
          <w:color w:val="231F20"/>
          <w:spacing w:val="-6"/>
        </w:rPr>
        <w:t> </w:t>
      </w:r>
      <w:r>
        <w:rPr>
          <w:color w:val="231F20"/>
        </w:rPr>
        <w:t>in</w:t>
      </w:r>
      <w:r>
        <w:rPr>
          <w:color w:val="231F20"/>
          <w:spacing w:val="-7"/>
        </w:rPr>
        <w:t> </w:t>
      </w:r>
      <w:r>
        <w:rPr>
          <w:color w:val="231F20"/>
        </w:rPr>
        <w:t>which,</w:t>
      </w:r>
      <w:r>
        <w:rPr>
          <w:color w:val="231F20"/>
          <w:spacing w:val="-7"/>
        </w:rPr>
        <w:t> </w:t>
      </w:r>
      <w:r>
        <w:rPr>
          <w:color w:val="231F20"/>
        </w:rPr>
        <w:t>for</w:t>
      </w:r>
      <w:r>
        <w:rPr>
          <w:color w:val="231F20"/>
          <w:spacing w:val="-6"/>
        </w:rPr>
        <w:t> </w:t>
      </w:r>
      <w:r>
        <w:rPr>
          <w:color w:val="231F20"/>
        </w:rPr>
        <w:t>instance,</w:t>
      </w:r>
      <w:r>
        <w:rPr>
          <w:color w:val="231F20"/>
          <w:spacing w:val="-7"/>
        </w:rPr>
        <w:t> </w:t>
      </w:r>
      <w:r>
        <w:rPr>
          <w:color w:val="231F20"/>
        </w:rPr>
        <w:t>the</w:t>
      </w:r>
      <w:r>
        <w:rPr>
          <w:color w:val="231F20"/>
          <w:spacing w:val="-7"/>
        </w:rPr>
        <w:t> </w:t>
      </w:r>
      <w:r>
        <w:rPr>
          <w:color w:val="231F20"/>
        </w:rPr>
        <w:t>right</w:t>
      </w:r>
      <w:r>
        <w:rPr>
          <w:color w:val="231F20"/>
          <w:spacing w:val="-6"/>
        </w:rPr>
        <w:t> </w:t>
      </w:r>
      <w:r>
        <w:rPr>
          <w:color w:val="231F20"/>
          <w:spacing w:val="-3"/>
        </w:rPr>
        <w:t>side </w:t>
      </w:r>
      <w:r>
        <w:rPr>
          <w:color w:val="231F20"/>
        </w:rPr>
        <w:t>stimulation recruits predominantly the sinoatrial node (e.g., </w:t>
      </w:r>
      <w:r>
        <w:rPr>
          <w:color w:val="231F20"/>
          <w:spacing w:val="-4"/>
        </w:rPr>
        <w:t>with </w:t>
      </w:r>
      <w:r>
        <w:rPr>
          <w:color w:val="231F20"/>
        </w:rPr>
        <w:t>the associated bradycardia) and the left side the atrioventricular node.</w:t>
      </w:r>
    </w:p>
    <w:p>
      <w:pPr>
        <w:pStyle w:val="BodyText"/>
        <w:spacing w:line="213" w:lineRule="auto" w:before="107"/>
        <w:ind w:right="155"/>
        <w:jc w:val="both"/>
      </w:pPr>
      <w:r>
        <w:rPr/>
        <w:br w:type="column"/>
      </w:r>
      <w:r>
        <w:rPr>
          <w:color w:val="231F20"/>
        </w:rPr>
        <w:t>possible. This is in contrast to the percutaneous  aVNS,  </w:t>
      </w:r>
      <w:r>
        <w:rPr>
          <w:color w:val="231F20"/>
          <w:spacing w:val="-6"/>
        </w:rPr>
        <w:t>in  </w:t>
      </w:r>
      <w:r>
        <w:rPr>
          <w:color w:val="231F20"/>
        </w:rPr>
        <w:t>which stimulation needles can be precisely positioned relative   to aVN fibers and thus the associated stimulation patterns may be optimized more easily; of course, provided that individual locations of aVN fibers are</w:t>
      </w:r>
      <w:r>
        <w:rPr>
          <w:color w:val="231F20"/>
          <w:spacing w:val="-1"/>
        </w:rPr>
        <w:t> </w:t>
      </w:r>
      <w:r>
        <w:rPr>
          <w:color w:val="231F20"/>
        </w:rPr>
        <w:t>known.</w:t>
      </w:r>
    </w:p>
    <w:p>
      <w:pPr>
        <w:pStyle w:val="BodyText"/>
        <w:spacing w:line="213" w:lineRule="auto" w:before="5"/>
        <w:ind w:right="155" w:firstLine="229"/>
        <w:jc w:val="both"/>
      </w:pPr>
      <w:r>
        <w:rPr/>
        <w:pict>
          <v:shape style="position:absolute;margin-left:301.521454pt;margin-top:206.799911pt;width:74.05pt;height:11.5pt;mso-position-horizontal-relative:page;mso-position-vertical-relative:paragraph;z-index:-41440" type="#_x0000_t202" filled="true" fillcolor="#fde164" stroked="false">
            <v:textbox inset="0,0,0,0">
              <w:txbxContent>
                <w:p>
                  <w:pPr>
                    <w:pStyle w:val="BodyText"/>
                    <w:spacing w:line="229" w:lineRule="exact"/>
                    <w:ind w:left="42"/>
                  </w:pPr>
                  <w:r>
                    <w:rPr>
                      <w:color w:val="231F20"/>
                    </w:rPr>
                    <w:t>therapeutic target</w:t>
                  </w:r>
                </w:p>
              </w:txbxContent>
            </v:textbox>
            <v:fill opacity="26214f" type="solid"/>
            <w10:wrap type="none"/>
          </v:shape>
        </w:pict>
      </w:r>
      <w:r>
        <w:rPr/>
        <w:pict>
          <v:shape style="position:absolute;margin-left:312.978455pt;margin-top:183.211716pt;width:239.6pt;height:11.5pt;mso-position-horizontal-relative:page;mso-position-vertical-relative:paragraph;z-index:2056" type="#_x0000_t202" filled="true" fillcolor="#fde164" stroked="false">
            <v:textbox inset="0,0,0,0">
              <w:txbxContent>
                <w:p>
                  <w:pPr>
                    <w:pStyle w:val="BodyText"/>
                    <w:spacing w:line="229" w:lineRule="exact"/>
                    <w:ind w:left="42"/>
                  </w:pPr>
                  <w:r>
                    <w:rPr>
                      <w:color w:val="231F20"/>
                    </w:rPr>
                    <w:t>Auricular vagus nerve stimulation of a percept-matched</w:t>
                  </w:r>
                </w:p>
              </w:txbxContent>
            </v:textbox>
            <v:fill opacity="26214f" type="solid"/>
            <w10:wrap type="none"/>
          </v:shape>
        </w:pict>
      </w:r>
      <w:r>
        <w:rPr>
          <w:color w:val="231F20"/>
        </w:rPr>
        <w:t>Needles should reside close to the local aVN fibers or their endings (</w:t>
      </w:r>
      <w:hyperlink w:history="true" w:anchor="_bookmark13">
        <w:r>
          <w:rPr>
            <w:color w:val="6D6E71"/>
          </w:rPr>
          <w:t>Bermejo et al.</w:t>
        </w:r>
      </w:hyperlink>
      <w:r>
        <w:rPr>
          <w:color w:val="6D6E71"/>
        </w:rPr>
        <w:t>, </w:t>
      </w:r>
      <w:hyperlink w:history="true" w:anchor="_bookmark13">
        <w:r>
          <w:rPr>
            <w:color w:val="6D6E71"/>
          </w:rPr>
          <w:t>2017</w:t>
        </w:r>
      </w:hyperlink>
      <w:r>
        <w:rPr>
          <w:color w:val="231F20"/>
        </w:rPr>
        <w:t>) to guarantee their suprathreshold stimulation but not too close to avoid their cathodic </w:t>
      </w:r>
      <w:r>
        <w:rPr>
          <w:color w:val="231F20"/>
          <w:spacing w:val="-3"/>
        </w:rPr>
        <w:t>block </w:t>
      </w:r>
      <w:r>
        <w:rPr>
          <w:color w:val="231F20"/>
        </w:rPr>
        <w:t>[characterized by the inhibited propagation of excitation (</w:t>
      </w:r>
      <w:hyperlink w:history="true" w:anchor="_bookmark48">
        <w:r>
          <w:rPr>
            <w:color w:val="6D6E71"/>
          </w:rPr>
          <w:t>Kaniusas</w:t>
        </w:r>
      </w:hyperlink>
      <w:r>
        <w:rPr>
          <w:color w:val="6D6E71"/>
        </w:rPr>
        <w:t>,</w:t>
      </w:r>
      <w:r>
        <w:rPr>
          <w:color w:val="6D6E71"/>
          <w:spacing w:val="-9"/>
        </w:rPr>
        <w:t> </w:t>
      </w:r>
      <w:hyperlink w:history="true" w:anchor="_bookmark48">
        <w:r>
          <w:rPr>
            <w:color w:val="6D6E71"/>
          </w:rPr>
          <w:t>2019</w:t>
        </w:r>
      </w:hyperlink>
      <w:r>
        <w:rPr>
          <w:color w:val="231F20"/>
        </w:rPr>
        <w:t>)].</w:t>
      </w:r>
      <w:r>
        <w:rPr>
          <w:color w:val="231F20"/>
          <w:spacing w:val="-7"/>
        </w:rPr>
        <w:t> </w:t>
      </w:r>
      <w:r>
        <w:rPr>
          <w:color w:val="231F20"/>
        </w:rPr>
        <w:t>Then</w:t>
      </w:r>
      <w:r>
        <w:rPr>
          <w:color w:val="231F20"/>
          <w:spacing w:val="-8"/>
        </w:rPr>
        <w:t> </w:t>
      </w:r>
      <w:r>
        <w:rPr>
          <w:color w:val="231F20"/>
        </w:rPr>
        <w:t>the</w:t>
      </w:r>
      <w:r>
        <w:rPr>
          <w:color w:val="231F20"/>
          <w:spacing w:val="-7"/>
        </w:rPr>
        <w:t> </w:t>
      </w:r>
      <w:r>
        <w:rPr>
          <w:color w:val="231F20"/>
        </w:rPr>
        <w:t>maximum</w:t>
      </w:r>
      <w:r>
        <w:rPr>
          <w:color w:val="231F20"/>
          <w:spacing w:val="-8"/>
        </w:rPr>
        <w:t> </w:t>
      </w:r>
      <w:r>
        <w:rPr>
          <w:color w:val="231F20"/>
        </w:rPr>
        <w:t>recruitment</w:t>
      </w:r>
      <w:r>
        <w:rPr>
          <w:color w:val="231F20"/>
          <w:spacing w:val="-8"/>
        </w:rPr>
        <w:t> </w:t>
      </w:r>
      <w:r>
        <w:rPr>
          <w:color w:val="231F20"/>
        </w:rPr>
        <w:t>efficiency</w:t>
      </w:r>
      <w:r>
        <w:rPr>
          <w:color w:val="231F20"/>
          <w:spacing w:val="-7"/>
        </w:rPr>
        <w:t> </w:t>
      </w:r>
      <w:r>
        <w:rPr>
          <w:color w:val="231F20"/>
        </w:rPr>
        <w:t>can be attained for a given stimulation pattern </w:t>
      </w:r>
      <w:r>
        <w:rPr>
          <w:color w:val="231F20"/>
          <w:spacing w:val="-3"/>
        </w:rPr>
        <w:t>(</w:t>
      </w:r>
      <w:hyperlink w:history="true" w:anchor="_bookmark103">
        <w:r>
          <w:rPr>
            <w:color w:val="6D6E71"/>
            <w:spacing w:val="-3"/>
          </w:rPr>
          <w:t>Tarnaud </w:t>
        </w:r>
        <w:r>
          <w:rPr>
            <w:color w:val="6D6E71"/>
          </w:rPr>
          <w:t>et al.</w:t>
        </w:r>
      </w:hyperlink>
      <w:r>
        <w:rPr>
          <w:color w:val="6D6E71"/>
        </w:rPr>
        <w:t>, </w:t>
      </w:r>
      <w:hyperlink w:history="true" w:anchor="_bookmark103">
        <w:r>
          <w:rPr>
            <w:color w:val="6D6E71"/>
          </w:rPr>
          <w:t>2018</w:t>
        </w:r>
      </w:hyperlink>
      <w:r>
        <w:rPr>
          <w:color w:val="231F20"/>
        </w:rPr>
        <w:t>). In general, the thicker fibers are and the closer fibers are to the stimulation electrode, the less is the required excitation stimulus; in addition, myelinated fibers are excited more easily than non- myelinated fibers of the same thickness. Furthermore, more than one stimulation needle close to local aVN fibers can be expected to increase the net number of stimulated aVN fibers and </w:t>
      </w:r>
      <w:r>
        <w:rPr>
          <w:color w:val="231F20"/>
          <w:spacing w:val="-3"/>
        </w:rPr>
        <w:t>thus    </w:t>
      </w:r>
      <w:r>
        <w:rPr>
          <w:color w:val="231F20"/>
        </w:rPr>
        <w:t>to increase the net recruitment efficiency. The penetration depth of needles should be in the range of 1 mm, as suggested by the depth of auricular fibers under the skin (</w:t>
      </w:r>
      <w:hyperlink w:history="true" w:anchor="_bookmark13">
        <w:r>
          <w:rPr>
            <w:color w:val="6D6E71"/>
          </w:rPr>
          <w:t>Bermejo et al.</w:t>
        </w:r>
      </w:hyperlink>
      <w:r>
        <w:rPr>
          <w:color w:val="6D6E71"/>
        </w:rPr>
        <w:t>, </w:t>
      </w:r>
      <w:hyperlink w:history="true" w:anchor="_bookmark13">
        <w:r>
          <w:rPr>
            <w:color w:val="6D6E71"/>
            <w:spacing w:val="-4"/>
          </w:rPr>
          <w:t>2017</w:t>
        </w:r>
      </w:hyperlink>
      <w:r>
        <w:rPr>
          <w:color w:val="231F20"/>
          <w:spacing w:val="-4"/>
        </w:rPr>
        <w:t>; </w:t>
      </w:r>
      <w:hyperlink w:history="true" w:anchor="_bookmark82">
        <w:r>
          <w:rPr>
            <w:color w:val="6D6E71"/>
          </w:rPr>
          <w:t>Razlighi et al.</w:t>
        </w:r>
      </w:hyperlink>
      <w:r>
        <w:rPr>
          <w:color w:val="6D6E71"/>
        </w:rPr>
        <w:t>, </w:t>
      </w:r>
      <w:hyperlink w:history="true" w:anchor="_bookmark82">
        <w:r>
          <w:rPr>
            <w:color w:val="6D6E71"/>
          </w:rPr>
          <w:t>2018</w:t>
        </w:r>
      </w:hyperlink>
      <w:r>
        <w:rPr>
          <w:color w:val="231F20"/>
        </w:rPr>
        <w:t>).</w:t>
      </w:r>
    </w:p>
    <w:p>
      <w:pPr>
        <w:pStyle w:val="BodyText"/>
        <w:spacing w:before="12"/>
        <w:ind w:left="0"/>
        <w:rPr>
          <w:sz w:val="15"/>
        </w:rPr>
      </w:pPr>
      <w:r>
        <w:rPr/>
        <w:pict>
          <v:shape style="position:absolute;margin-left:301.521454pt;margin-top:11.954005pt;width:251.05pt;height:12.15pt;mso-position-horizontal-relative:page;mso-position-vertical-relative:paragraph;z-index:-448;mso-wrap-distance-left:0;mso-wrap-distance-right:0" type="#_x0000_t202" filled="true" fillcolor="#fde164" stroked="false">
            <v:textbox inset="0,0,0,0">
              <w:txbxContent>
                <w:p>
                  <w:pPr>
                    <w:pStyle w:val="BodyText"/>
                    <w:spacing w:line="243" w:lineRule="exact"/>
                    <w:ind w:left="42"/>
                  </w:pPr>
                  <w:r>
                    <w:rPr>
                      <w:color w:val="231F20"/>
                    </w:rPr>
                    <w:t>and subjectively comfortable intensity is preferred to reach</w:t>
                  </w:r>
                </w:p>
              </w:txbxContent>
            </v:textbox>
            <v:fill opacity="26214f" type="solid"/>
            <w10:wrap type="topAndBottom"/>
          </v:shape>
        </w:pict>
      </w:r>
    </w:p>
    <w:p>
      <w:pPr>
        <w:pStyle w:val="BodyText"/>
        <w:spacing w:line="213" w:lineRule="auto"/>
        <w:ind w:right="155" w:firstLine="1486"/>
        <w:jc w:val="both"/>
      </w:pPr>
      <w:r>
        <w:rPr>
          <w:color w:val="231F20"/>
        </w:rPr>
        <w:t>(</w:t>
      </w:r>
      <w:hyperlink w:history="true" w:anchor="_bookmark21">
        <w:r>
          <w:rPr>
            <w:color w:val="6D6E71"/>
          </w:rPr>
          <w:t>Busch et al.</w:t>
        </w:r>
      </w:hyperlink>
      <w:r>
        <w:rPr>
          <w:color w:val="6D6E71"/>
        </w:rPr>
        <w:t>, </w:t>
      </w:r>
      <w:hyperlink w:history="true" w:anchor="_bookmark21">
        <w:r>
          <w:rPr>
            <w:color w:val="6D6E71"/>
          </w:rPr>
          <w:t>2012</w:t>
        </w:r>
      </w:hyperlink>
      <w:r>
        <w:rPr>
          <w:color w:val="231F20"/>
        </w:rPr>
        <w:t>; </w:t>
      </w:r>
      <w:hyperlink w:history="true" w:anchor="_bookmark67">
        <w:r>
          <w:rPr>
            <w:color w:val="6D6E71"/>
          </w:rPr>
          <w:t>Napadow et al.</w:t>
        </w:r>
      </w:hyperlink>
      <w:r>
        <w:rPr>
          <w:color w:val="6D6E71"/>
        </w:rPr>
        <w:t>, </w:t>
      </w:r>
      <w:hyperlink w:history="true" w:anchor="_bookmark67">
        <w:r>
          <w:rPr>
            <w:color w:val="6D6E71"/>
            <w:spacing w:val="-4"/>
          </w:rPr>
          <w:t>2012</w:t>
        </w:r>
      </w:hyperlink>
      <w:r>
        <w:rPr>
          <w:color w:val="231F20"/>
          <w:spacing w:val="-4"/>
        </w:rPr>
        <w:t>) </w:t>
      </w:r>
      <w:r>
        <w:rPr>
          <w:color w:val="231F20"/>
        </w:rPr>
        <w:t>which is a strong function of the stimulation pattern  </w:t>
      </w:r>
      <w:r>
        <w:rPr>
          <w:color w:val="231F20"/>
          <w:spacing w:val="-4"/>
        </w:rPr>
        <w:t>(</w:t>
      </w:r>
      <w:hyperlink w:history="true" w:anchor="_bookmark9">
        <w:r>
          <w:rPr>
            <w:color w:val="6D6E71"/>
            <w:spacing w:val="-4"/>
          </w:rPr>
          <w:t>Bald</w:t>
        </w:r>
      </w:hyperlink>
      <w:r>
        <w:rPr>
          <w:color w:val="6D6E71"/>
          <w:spacing w:val="-4"/>
        </w:rPr>
        <w:t>,</w:t>
      </w:r>
      <w:r>
        <w:rPr>
          <w:color w:val="6D6E71"/>
          <w:spacing w:val="35"/>
        </w:rPr>
        <w:t> </w:t>
      </w:r>
      <w:hyperlink w:history="true" w:anchor="_bookmark9">
        <w:r>
          <w:rPr>
            <w:color w:val="6D6E71"/>
          </w:rPr>
          <w:t>2010</w:t>
        </w:r>
      </w:hyperlink>
      <w:r>
        <w:rPr>
          <w:color w:val="231F20"/>
        </w:rPr>
        <w:t>; </w:t>
      </w:r>
      <w:hyperlink w:history="true" w:anchor="_bookmark48">
        <w:r>
          <w:rPr>
            <w:color w:val="6D6E71"/>
          </w:rPr>
          <w:t>Kaniusas</w:t>
        </w:r>
      </w:hyperlink>
      <w:r>
        <w:rPr>
          <w:color w:val="6D6E71"/>
        </w:rPr>
        <w:t>, </w:t>
      </w:r>
      <w:hyperlink w:history="true" w:anchor="_bookmark48">
        <w:r>
          <w:rPr>
            <w:color w:val="6D6E71"/>
          </w:rPr>
          <w:t>2019</w:t>
        </w:r>
      </w:hyperlink>
      <w:r>
        <w:rPr>
          <w:color w:val="231F20"/>
        </w:rPr>
        <w:t>). For instance, </w:t>
      </w:r>
      <w:hyperlink w:history="true" w:anchor="_bookmark27">
        <w:r>
          <w:rPr>
            <w:color w:val="6D6E71"/>
          </w:rPr>
          <w:t>Deuchars et al. </w:t>
        </w:r>
      </w:hyperlink>
      <w:r>
        <w:rPr>
          <w:color w:val="6D6E71"/>
        </w:rPr>
        <w:t>(</w:t>
      </w:r>
      <w:hyperlink w:history="true" w:anchor="_bookmark27">
        <w:r>
          <w:rPr>
            <w:color w:val="6D6E71"/>
          </w:rPr>
          <w:t>2017</w:t>
        </w:r>
      </w:hyperlink>
      <w:r>
        <w:rPr>
          <w:color w:val="6D6E71"/>
        </w:rPr>
        <w:t>)</w:t>
      </w:r>
      <w:r>
        <w:rPr>
          <w:color w:val="6D6E71"/>
          <w:spacing w:val="-16"/>
        </w:rPr>
        <w:t> </w:t>
      </w:r>
      <w:r>
        <w:rPr>
          <w:color w:val="231F20"/>
        </w:rPr>
        <w:t>prefer intensities which are slightly below the subjective </w:t>
      </w:r>
      <w:r>
        <w:rPr>
          <w:color w:val="231F20"/>
          <w:spacing w:val="-3"/>
        </w:rPr>
        <w:t>perception </w:t>
      </w:r>
      <w:r>
        <w:rPr>
          <w:color w:val="231F20"/>
        </w:rPr>
        <w:t>level.</w:t>
      </w:r>
    </w:p>
    <w:p>
      <w:pPr>
        <w:pStyle w:val="BodyText"/>
        <w:spacing w:line="213" w:lineRule="auto" w:before="5"/>
        <w:ind w:firstLine="1812"/>
      </w:pPr>
      <w:r>
        <w:rPr/>
        <w:pict>
          <v:shape style="position:absolute;margin-left:408.443542pt;margin-top:11.356691pt;width:144.15pt;height:11.5pt;mso-position-horizontal-relative:page;mso-position-vertical-relative:paragraph;z-index:-41512" type="#_x0000_t202" filled="true" fillcolor="#fde164" stroked="false">
            <v:textbox inset="0,0,0,0">
              <w:txbxContent>
                <w:p>
                  <w:pPr>
                    <w:pStyle w:val="BodyText"/>
                    <w:spacing w:line="229" w:lineRule="exact"/>
                    <w:ind w:left="42"/>
                  </w:pPr>
                  <w:r>
                    <w:rPr>
                      <w:color w:val="231F20"/>
                    </w:rPr>
                    <w:t>This is because the non-nociceptive</w:t>
                  </w:r>
                </w:p>
              </w:txbxContent>
            </v:textbox>
            <v:fill opacity="26214f" type="solid"/>
            <w10:wrap type="none"/>
          </v:shape>
        </w:pict>
      </w:r>
      <w:r>
        <w:rPr/>
        <w:pict>
          <v:shape style="position:absolute;margin-left:301.521454pt;margin-top:.573891pt;width:92.2pt;height:11.5pt;mso-position-horizontal-relative:page;mso-position-vertical-relative:paragraph;z-index:-41488" type="#_x0000_t202" filled="true" fillcolor="#fde164" stroked="false">
            <v:textbox inset="0,0,0,0">
              <w:txbxContent>
                <w:p>
                  <w:pPr>
                    <w:pStyle w:val="BodyText"/>
                    <w:spacing w:line="229" w:lineRule="exact"/>
                    <w:ind w:left="42"/>
                  </w:pPr>
                  <w:r>
                    <w:rPr>
                      <w:color w:val="231F20"/>
                    </w:rPr>
                    <w:t>with numerous studies</w:t>
                  </w:r>
                </w:p>
              </w:txbxContent>
            </v:textbox>
            <v:fill opacity="26214f" type="solid"/>
            <w10:wrap type="none"/>
          </v:shape>
        </w:pict>
      </w:r>
      <w:r>
        <w:rPr/>
        <w:pict>
          <v:shape style="position:absolute;margin-left:322.782654pt;margin-top:-11.557308pt;width:229.8pt;height:12.15pt;mso-position-horizontal-relative:page;mso-position-vertical-relative:paragraph;z-index:-41464" type="#_x0000_t202" filled="true" fillcolor="#fde164" stroked="false">
            <v:textbox inset="0,0,0,0">
              <w:txbxContent>
                <w:p>
                  <w:pPr>
                    <w:pStyle w:val="BodyText"/>
                    <w:spacing w:line="243" w:lineRule="exact"/>
                    <w:ind w:left="42"/>
                  </w:pPr>
                  <w:r>
                    <w:rPr>
                      <w:color w:val="231F20"/>
                    </w:rPr>
                    <w:t>We</w:t>
                  </w:r>
                  <w:r>
                    <w:rPr>
                      <w:color w:val="231F20"/>
                      <w:spacing w:val="-10"/>
                    </w:rPr>
                    <w:t> </w:t>
                  </w:r>
                  <w:r>
                    <w:rPr>
                      <w:color w:val="231F20"/>
                    </w:rPr>
                    <w:t>hypothesize</w:t>
                  </w:r>
                  <w:r>
                    <w:rPr>
                      <w:color w:val="231F20"/>
                      <w:spacing w:val="-9"/>
                    </w:rPr>
                    <w:t> </w:t>
                  </w:r>
                  <w:r>
                    <w:rPr>
                      <w:color w:val="231F20"/>
                    </w:rPr>
                    <w:t>that</w:t>
                  </w:r>
                  <w:r>
                    <w:rPr>
                      <w:color w:val="231F20"/>
                      <w:spacing w:val="-9"/>
                    </w:rPr>
                    <w:t> </w:t>
                  </w:r>
                  <w:r>
                    <w:rPr>
                      <w:color w:val="231F20"/>
                    </w:rPr>
                    <w:t>a</w:t>
                  </w:r>
                  <w:r>
                    <w:rPr>
                      <w:color w:val="231F20"/>
                      <w:spacing w:val="-9"/>
                    </w:rPr>
                    <w:t> </w:t>
                  </w:r>
                  <w:r>
                    <w:rPr>
                      <w:color w:val="231F20"/>
                    </w:rPr>
                    <w:t>tingling</w:t>
                  </w:r>
                  <w:r>
                    <w:rPr>
                      <w:color w:val="231F20"/>
                      <w:spacing w:val="-9"/>
                    </w:rPr>
                    <w:t> </w:t>
                  </w:r>
                  <w:r>
                    <w:rPr>
                      <w:color w:val="231F20"/>
                    </w:rPr>
                    <w:t>sensation</w:t>
                  </w:r>
                  <w:r>
                    <w:rPr>
                      <w:color w:val="231F20"/>
                      <w:spacing w:val="-9"/>
                    </w:rPr>
                    <w:t> </w:t>
                  </w:r>
                  <w:r>
                    <w:rPr>
                      <w:color w:val="231F20"/>
                    </w:rPr>
                    <w:t>is</w:t>
                  </w:r>
                  <w:r>
                    <w:rPr>
                      <w:color w:val="231F20"/>
                      <w:spacing w:val="-9"/>
                    </w:rPr>
                    <w:t> </w:t>
                  </w:r>
                  <w:r>
                    <w:rPr>
                      <w:color w:val="231F20"/>
                    </w:rPr>
                    <w:t>necessary,</w:t>
                  </w:r>
                  <w:r>
                    <w:rPr>
                      <w:color w:val="231F20"/>
                      <w:spacing w:val="-9"/>
                    </w:rPr>
                    <w:t> </w:t>
                  </w:r>
                  <w:r>
                    <w:rPr>
                      <w:color w:val="231F20"/>
                    </w:rPr>
                    <w:t>in</w:t>
                  </w:r>
                  <w:r>
                    <w:rPr>
                      <w:color w:val="231F20"/>
                      <w:spacing w:val="-9"/>
                    </w:rPr>
                    <w:t> </w:t>
                  </w:r>
                  <w:r>
                    <w:rPr>
                      <w:color w:val="231F20"/>
                    </w:rPr>
                    <w:t>line</w:t>
                  </w:r>
                </w:p>
              </w:txbxContent>
            </v:textbox>
            <v:fill opacity="26214f" type="solid"/>
            <w10:wrap type="none"/>
          </v:shape>
        </w:pict>
      </w:r>
      <w:r>
        <w:rPr>
          <w:color w:val="231F20"/>
        </w:rPr>
        <w:t>(</w:t>
      </w:r>
      <w:hyperlink w:history="true" w:anchor="_bookmark53">
        <w:r>
          <w:rPr>
            <w:color w:val="6D6E71"/>
          </w:rPr>
          <w:t>Kothe</w:t>
        </w:r>
      </w:hyperlink>
      <w:r>
        <w:rPr>
          <w:color w:val="6D6E71"/>
        </w:rPr>
        <w:t>, </w:t>
      </w:r>
      <w:hyperlink w:history="true" w:anchor="_bookmark53">
        <w:r>
          <w:rPr>
            <w:color w:val="6D6E71"/>
          </w:rPr>
          <w:t>2009</w:t>
        </w:r>
      </w:hyperlink>
      <w:r>
        <w:rPr>
          <w:color w:val="231F20"/>
        </w:rPr>
        <w:t>; </w:t>
      </w:r>
      <w:hyperlink w:history="true" w:anchor="_bookmark29">
        <w:r>
          <w:rPr>
            <w:color w:val="6D6E71"/>
          </w:rPr>
          <w:t>Ellrich</w:t>
        </w:r>
      </w:hyperlink>
      <w:r>
        <w:rPr>
          <w:color w:val="6D6E71"/>
        </w:rPr>
        <w:t>, </w:t>
      </w:r>
      <w:hyperlink w:history="true" w:anchor="_bookmark29">
        <w:r>
          <w:rPr>
            <w:color w:val="6D6E71"/>
          </w:rPr>
          <w:t>2011</w:t>
        </w:r>
      </w:hyperlink>
      <w:r>
        <w:rPr>
          <w:color w:val="231F20"/>
        </w:rPr>
        <w:t>; </w:t>
      </w:r>
      <w:hyperlink w:history="true" w:anchor="_bookmark34">
        <w:r>
          <w:rPr>
            <w:color w:val="6D6E71"/>
          </w:rPr>
          <w:t>Garcia et al.</w:t>
        </w:r>
      </w:hyperlink>
      <w:r>
        <w:rPr>
          <w:color w:val="6D6E71"/>
        </w:rPr>
        <w:t>, </w:t>
      </w:r>
      <w:hyperlink w:history="true" w:anchor="_bookmark34">
        <w:r>
          <w:rPr>
            <w:color w:val="6D6E71"/>
          </w:rPr>
          <w:t>2017</w:t>
        </w:r>
      </w:hyperlink>
      <w:r>
        <w:rPr>
          <w:color w:val="231F20"/>
        </w:rPr>
        <w:t>; </w:t>
      </w:r>
      <w:hyperlink w:history="true" w:anchor="_bookmark93">
        <w:r>
          <w:rPr>
            <w:color w:val="6D6E71"/>
          </w:rPr>
          <w:t>Sclocco et al.</w:t>
        </w:r>
      </w:hyperlink>
      <w:r>
        <w:rPr>
          <w:color w:val="6D6E71"/>
        </w:rPr>
        <w:t>, </w:t>
      </w:r>
      <w:hyperlink w:history="true" w:anchor="_bookmark93">
        <w:r>
          <w:rPr>
            <w:color w:val="6D6E71"/>
          </w:rPr>
          <w:t>2019</w:t>
        </w:r>
      </w:hyperlink>
      <w:r>
        <w:rPr>
          <w:color w:val="231F20"/>
        </w:rPr>
        <w:t>).</w:t>
      </w:r>
    </w:p>
    <w:p>
      <w:pPr>
        <w:pStyle w:val="BodyText"/>
        <w:ind w:left="116"/>
        <w:rPr>
          <w:sz w:val="20"/>
        </w:rPr>
      </w:pPr>
      <w:r>
        <w:rPr>
          <w:sz w:val="20"/>
        </w:rPr>
        <w:pict>
          <v:shape style="width:251.05pt;height:22.95pt;mso-position-horizontal-relative:char;mso-position-vertical-relative:line" type="#_x0000_t202" filled="true" fillcolor="#fde164" stroked="false">
            <w10:anchorlock/>
            <v:textbox inset="0,0,0,0">
              <w:txbxContent>
                <w:p>
                  <w:pPr>
                    <w:pStyle w:val="BodyText"/>
                    <w:spacing w:line="229" w:lineRule="exact"/>
                    <w:ind w:left="42"/>
                  </w:pPr>
                  <w:r>
                    <w:rPr>
                      <w:color w:val="231F20"/>
                    </w:rPr>
                    <w:t>aVNS should recruit myelinated A</w:t>
                  </w:r>
                  <w:r>
                    <w:rPr>
                      <w:rFonts w:ascii="Arial Black" w:hAnsi="Arial Black"/>
                      <w:color w:val="231F20"/>
                    </w:rPr>
                    <w:t>β </w:t>
                  </w:r>
                  <w:r>
                    <w:rPr>
                      <w:color w:val="231F20"/>
                    </w:rPr>
                    <w:t>fibers in the ear</w:t>
                  </w:r>
                  <w:r>
                    <w:rPr>
                      <w:color w:val="231F20"/>
                      <w:spacing w:val="18"/>
                    </w:rPr>
                    <w:t> </w:t>
                  </w:r>
                  <w:r>
                    <w:rPr>
                      <w:color w:val="231F20"/>
                    </w:rPr>
                    <w:t>responsible</w:t>
                  </w:r>
                </w:p>
                <w:p>
                  <w:pPr>
                    <w:pStyle w:val="BodyText"/>
                    <w:spacing w:line="229" w:lineRule="exact"/>
                    <w:ind w:left="42"/>
                  </w:pPr>
                  <w:r>
                    <w:rPr>
                      <w:color w:val="231F20"/>
                    </w:rPr>
                    <w:t>for  cutaneous  mechanoreception  and  touch  sensation, instead</w:t>
                  </w:r>
                </w:p>
              </w:txbxContent>
            </v:textbox>
            <v:fill opacity="26214f" type="solid"/>
          </v:shape>
        </w:pict>
      </w:r>
      <w:r>
        <w:rPr>
          <w:sz w:val="20"/>
        </w:rPr>
      </w:r>
    </w:p>
    <w:p>
      <w:pPr>
        <w:pStyle w:val="BodyText"/>
        <w:spacing w:line="199" w:lineRule="auto" w:before="201"/>
        <w:ind w:right="155" w:firstLine="969"/>
        <w:jc w:val="both"/>
      </w:pPr>
      <w:r>
        <w:rPr/>
        <w:pict>
          <v:shape style="position:absolute;margin-left:385.264038pt;margin-top:44.46825pt;width:167.3pt;height:11.5pt;mso-position-horizontal-relative:page;mso-position-vertical-relative:paragraph;z-index:1888" type="#_x0000_t202" filled="true" fillcolor="#fde164" stroked="false">
            <v:textbox inset="0,0,0,0">
              <w:txbxContent>
                <w:p>
                  <w:pPr>
                    <w:pStyle w:val="BodyText"/>
                    <w:spacing w:line="229" w:lineRule="exact"/>
                    <w:ind w:left="42"/>
                  </w:pPr>
                  <w:r>
                    <w:rPr>
                      <w:color w:val="231F20"/>
                    </w:rPr>
                    <w:t>pain perception – accompanied typically</w:t>
                  </w:r>
                </w:p>
              </w:txbxContent>
            </v:textbox>
            <v:fill opacity="26214f" type="solid"/>
            <w10:wrap type="none"/>
          </v:shape>
        </w:pict>
      </w:r>
      <w:r>
        <w:rPr/>
        <w:pict>
          <v:shape style="position:absolute;margin-left:301.521515pt;margin-top:10.771549pt;width:46.25pt;height:11.5pt;mso-position-horizontal-relative:page;mso-position-vertical-relative:paragraph;z-index:-41560" type="#_x0000_t202" filled="true" fillcolor="#fde164" stroked="false">
            <v:textbox inset="0,0,0,0">
              <w:txbxContent>
                <w:p>
                  <w:pPr>
                    <w:pStyle w:val="BodyText"/>
                    <w:spacing w:line="229" w:lineRule="exact"/>
                    <w:ind w:left="42" w:right="-101"/>
                  </w:pPr>
                  <w:r>
                    <w:rPr>
                      <w:color w:val="231F20"/>
                    </w:rPr>
                    <w:t>sensation.</w:t>
                  </w:r>
                  <w:r>
                    <w:rPr>
                      <w:color w:val="231F20"/>
                      <w:spacing w:val="33"/>
                    </w:rPr>
                    <w:t> </w:t>
                  </w:r>
                  <w:r>
                    <w:rPr>
                      <w:color w:val="231F20"/>
                    </w:rPr>
                    <w:t>A</w:t>
                  </w:r>
                </w:p>
              </w:txbxContent>
            </v:textbox>
            <v:fill opacity="26214f" type="solid"/>
            <w10:wrap type="none"/>
          </v:shape>
        </w:pict>
      </w:r>
      <w:r>
        <w:rPr/>
        <w:pict>
          <v:shape style="position:absolute;margin-left:301.521515pt;margin-top:-1.35975pt;width:251.05pt;height:12.15pt;mso-position-horizontal-relative:page;mso-position-vertical-relative:paragraph;z-index:1936" type="#_x0000_t202" filled="true" fillcolor="#fde164" stroked="false">
            <v:textbox inset="0,0,0,0">
              <w:txbxContent>
                <w:p>
                  <w:pPr>
                    <w:pStyle w:val="BodyText"/>
                    <w:spacing w:line="243" w:lineRule="exact"/>
                    <w:ind w:left="42"/>
                  </w:pPr>
                  <w:r>
                    <w:rPr>
                      <w:color w:val="231F20"/>
                    </w:rPr>
                    <w:t>of myelinated A</w:t>
                  </w:r>
                  <w:r>
                    <w:rPr>
                      <w:rFonts w:ascii="Arial Black" w:hAnsi="Arial Black"/>
                      <w:color w:val="231F20"/>
                    </w:rPr>
                    <w:t>δ </w:t>
                  </w:r>
                  <w:r>
                    <w:rPr>
                      <w:color w:val="231F20"/>
                    </w:rPr>
                    <w:t>fibers for cutaneous pain and temperature</w:t>
                  </w:r>
                </w:p>
              </w:txbxContent>
            </v:textbox>
            <v:fill opacity="26214f" type="solid"/>
            <w10:wrap type="none"/>
          </v:shape>
        </w:pict>
      </w:r>
      <w:r>
        <w:rPr>
          <w:color w:val="231F20"/>
        </w:rPr>
        <w:t>dvantageously, relatively thick A</w:t>
      </w:r>
      <w:r>
        <w:rPr>
          <w:rFonts w:ascii="Arial Black" w:hAnsi="Arial Black"/>
          <w:color w:val="231F20"/>
        </w:rPr>
        <w:t>β </w:t>
      </w:r>
      <w:r>
        <w:rPr>
          <w:color w:val="231F20"/>
        </w:rPr>
        <w:t>fibers (with the diameter 7–10 </w:t>
      </w:r>
      <w:r>
        <w:rPr>
          <w:rFonts w:ascii="Arial Black" w:hAnsi="Arial Black"/>
          <w:color w:val="231F20"/>
        </w:rPr>
        <w:t>µ</w:t>
      </w:r>
      <w:r>
        <w:rPr>
          <w:color w:val="231F20"/>
        </w:rPr>
        <w:t>m) can be easier recruited than relatively thin A</w:t>
      </w:r>
      <w:r>
        <w:rPr>
          <w:rFonts w:ascii="Arial Black" w:hAnsi="Arial Black"/>
          <w:color w:val="231F20"/>
        </w:rPr>
        <w:t>δ </w:t>
      </w:r>
      <w:r>
        <w:rPr>
          <w:color w:val="231F20"/>
        </w:rPr>
        <w:t>fibers (2–5 </w:t>
      </w:r>
      <w:r>
        <w:rPr>
          <w:rFonts w:ascii="Arial Black" w:hAnsi="Arial Black"/>
          <w:color w:val="231F20"/>
        </w:rPr>
        <w:t>µ</w:t>
      </w:r>
      <w:r>
        <w:rPr>
          <w:color w:val="231F20"/>
        </w:rPr>
        <w:t>m).</w:t>
      </w:r>
    </w:p>
    <w:p>
      <w:pPr>
        <w:pStyle w:val="BodyText"/>
        <w:spacing w:line="235" w:lineRule="exact"/>
        <w:ind w:left="388"/>
      </w:pPr>
      <w:r>
        <w:rPr/>
        <w:pict>
          <v:shape style="position:absolute;margin-left:301.521454pt;margin-top:11.080757pt;width:251.05pt;height:12.15pt;mso-position-horizontal-relative:page;mso-position-vertical-relative:paragraph;z-index:1864" type="#_x0000_t202" filled="true" fillcolor="#fde164" stroked="false">
            <v:textbox inset="0,0,0,0">
              <w:txbxContent>
                <w:p>
                  <w:pPr>
                    <w:pStyle w:val="BodyText"/>
                    <w:spacing w:line="243" w:lineRule="exact"/>
                    <w:ind w:left="42"/>
                  </w:pPr>
                  <w:r>
                    <w:rPr>
                      <w:color w:val="231F20"/>
                    </w:rPr>
                    <w:t>by unpleasant, pricking, or burning sensations – should be</w:t>
                  </w:r>
                </w:p>
              </w:txbxContent>
            </v:textbox>
            <v:fill opacity="26214f" type="solid"/>
            <w10:wrap type="none"/>
          </v:shape>
        </w:pict>
      </w:r>
      <w:r>
        <w:rPr>
          <w:color w:val="231F20"/>
        </w:rPr>
        <w:t>In particular, the</w:t>
      </w:r>
    </w:p>
    <w:p>
      <w:pPr>
        <w:pStyle w:val="BodyText"/>
        <w:spacing w:before="9"/>
        <w:ind w:left="0"/>
        <w:rPr>
          <w:sz w:val="16"/>
        </w:rPr>
      </w:pPr>
    </w:p>
    <w:p>
      <w:pPr>
        <w:pStyle w:val="BodyText"/>
        <w:spacing w:line="211" w:lineRule="auto"/>
        <w:ind w:right="155" w:firstLine="2105"/>
        <w:jc w:val="both"/>
      </w:pPr>
      <w:r>
        <w:rPr/>
        <w:pict>
          <v:shape style="position:absolute;margin-left:301.521454pt;margin-top:.230052pt;width:105.8pt;height:11.5pt;mso-position-horizontal-relative:page;mso-position-vertical-relative:paragraph;z-index:-41632" type="#_x0000_t202" filled="true" fillcolor="#fde164" stroked="false">
            <v:textbox inset="0,0,0,0">
              <w:txbxContent>
                <w:p>
                  <w:pPr>
                    <w:pStyle w:val="BodyText"/>
                    <w:spacing w:line="229" w:lineRule="exact"/>
                    <w:ind w:left="42"/>
                  </w:pPr>
                  <w:r>
                    <w:rPr>
                      <w:color w:val="231F20"/>
                    </w:rPr>
                    <w:t>avoided while stimulating</w:t>
                  </w:r>
                </w:p>
              </w:txbxContent>
            </v:textbox>
            <v:fill opacity="26214f" type="solid"/>
            <w10:wrap type="none"/>
          </v:shape>
        </w:pict>
      </w:r>
      <w:r>
        <w:rPr>
          <w:color w:val="231F20"/>
        </w:rPr>
        <w:t>(</w:t>
      </w:r>
      <w:hyperlink w:history="true" w:anchor="_bookmark12">
        <w:r>
          <w:rPr>
            <w:color w:val="6D6E71"/>
          </w:rPr>
          <w:t>Ben-Menachem et al.</w:t>
        </w:r>
      </w:hyperlink>
      <w:r>
        <w:rPr>
          <w:color w:val="6D6E71"/>
        </w:rPr>
        <w:t>, </w:t>
      </w:r>
      <w:hyperlink w:history="true" w:anchor="_bookmark12">
        <w:r>
          <w:rPr>
            <w:color w:val="6D6E71"/>
          </w:rPr>
          <w:t>2015</w:t>
        </w:r>
      </w:hyperlink>
      <w:r>
        <w:rPr>
          <w:color w:val="231F20"/>
        </w:rPr>
        <w:t>). </w:t>
      </w:r>
      <w:hyperlink w:history="true" w:anchor="_bookmark109">
        <w:r>
          <w:rPr>
            <w:color w:val="6D6E71"/>
            <w:spacing w:val="-4"/>
          </w:rPr>
          <w:t>Yuan</w:t>
        </w:r>
      </w:hyperlink>
      <w:r>
        <w:rPr>
          <w:color w:val="6D6E71"/>
          <w:spacing w:val="-4"/>
        </w:rPr>
        <w:t> </w:t>
      </w:r>
      <w:hyperlink w:history="true" w:anchor="_bookmark109">
        <w:r>
          <w:rPr>
            <w:color w:val="6D6E71"/>
          </w:rPr>
          <w:t>and</w:t>
        </w:r>
        <w:r>
          <w:rPr>
            <w:color w:val="6D6E71"/>
            <w:spacing w:val="-9"/>
          </w:rPr>
          <w:t> </w:t>
        </w:r>
        <w:r>
          <w:rPr>
            <w:color w:val="6D6E71"/>
          </w:rPr>
          <w:t>Silberstein</w:t>
        </w:r>
        <w:r>
          <w:rPr>
            <w:color w:val="6D6E71"/>
            <w:spacing w:val="-9"/>
          </w:rPr>
          <w:t> </w:t>
        </w:r>
      </w:hyperlink>
      <w:r>
        <w:rPr>
          <w:color w:val="6D6E71"/>
        </w:rPr>
        <w:t>(</w:t>
      </w:r>
      <w:hyperlink w:history="true" w:anchor="_bookmark109">
        <w:r>
          <w:rPr>
            <w:color w:val="6D6E71"/>
          </w:rPr>
          <w:t>2015</w:t>
        </w:r>
      </w:hyperlink>
      <w:r>
        <w:rPr>
          <w:color w:val="6D6E71"/>
        </w:rPr>
        <w:t>)</w:t>
      </w:r>
      <w:r>
        <w:rPr>
          <w:color w:val="6D6E71"/>
          <w:spacing w:val="-9"/>
        </w:rPr>
        <w:t> </w:t>
      </w:r>
      <w:r>
        <w:rPr>
          <w:color w:val="231F20"/>
        </w:rPr>
        <w:t>report</w:t>
      </w:r>
      <w:r>
        <w:rPr>
          <w:color w:val="231F20"/>
          <w:spacing w:val="-9"/>
        </w:rPr>
        <w:t> </w:t>
      </w:r>
      <w:r>
        <w:rPr>
          <w:color w:val="231F20"/>
        </w:rPr>
        <w:t>aVNS</w:t>
      </w:r>
      <w:r>
        <w:rPr>
          <w:color w:val="231F20"/>
          <w:spacing w:val="-9"/>
        </w:rPr>
        <w:t> </w:t>
      </w:r>
      <w:r>
        <w:rPr>
          <w:color w:val="231F20"/>
        </w:rPr>
        <w:t>stimulation</w:t>
      </w:r>
      <w:r>
        <w:rPr>
          <w:color w:val="231F20"/>
          <w:spacing w:val="-8"/>
        </w:rPr>
        <w:t> </w:t>
      </w:r>
      <w:r>
        <w:rPr>
          <w:color w:val="231F20"/>
        </w:rPr>
        <w:t>intensity</w:t>
      </w:r>
      <w:r>
        <w:rPr>
          <w:color w:val="231F20"/>
          <w:spacing w:val="-9"/>
        </w:rPr>
        <w:t> </w:t>
      </w:r>
      <w:r>
        <w:rPr>
          <w:color w:val="231F20"/>
        </w:rPr>
        <w:t>between the </w:t>
      </w:r>
      <w:r>
        <w:rPr>
          <w:color w:val="231F20"/>
          <w:spacing w:val="-3"/>
        </w:rPr>
        <w:t>patient’s </w:t>
      </w:r>
      <w:r>
        <w:rPr>
          <w:color w:val="231F20"/>
        </w:rPr>
        <w:t>detection threshold and the pain  threshold  in  order to activate myelinated fibers. </w:t>
      </w:r>
      <w:hyperlink w:history="true" w:anchor="_bookmark31">
        <w:r>
          <w:rPr>
            <w:color w:val="6D6E71"/>
          </w:rPr>
          <w:t>Ellrich and Lamp</w:t>
        </w:r>
      </w:hyperlink>
      <w:r>
        <w:rPr>
          <w:color w:val="6D6E71"/>
        </w:rPr>
        <w:t> (</w:t>
      </w:r>
      <w:hyperlink w:history="true" w:anchor="_bookmark31">
        <w:r>
          <w:rPr>
            <w:color w:val="6D6E71"/>
          </w:rPr>
          <w:t>2005</w:t>
        </w:r>
      </w:hyperlink>
      <w:r>
        <w:rPr>
          <w:color w:val="6D6E71"/>
        </w:rPr>
        <w:t>) </w:t>
      </w:r>
      <w:r>
        <w:rPr>
          <w:color w:val="231F20"/>
        </w:rPr>
        <w:t>suggest that non-painful innocuous peripheral nerve stimulation preferentially</w:t>
      </w:r>
      <w:r>
        <w:rPr>
          <w:color w:val="231F20"/>
          <w:spacing w:val="-7"/>
        </w:rPr>
        <w:t> </w:t>
      </w:r>
      <w:r>
        <w:rPr>
          <w:color w:val="231F20"/>
        </w:rPr>
        <w:t>activates</w:t>
      </w:r>
      <w:r>
        <w:rPr>
          <w:color w:val="231F20"/>
          <w:spacing w:val="-7"/>
        </w:rPr>
        <w:t> </w:t>
      </w:r>
      <w:r>
        <w:rPr>
          <w:color w:val="231F20"/>
        </w:rPr>
        <w:t>A</w:t>
      </w:r>
      <w:r>
        <w:rPr>
          <w:rFonts w:ascii="Arial Black" w:hAnsi="Arial Black"/>
          <w:color w:val="231F20"/>
        </w:rPr>
        <w:t>β</w:t>
      </w:r>
      <w:r>
        <w:rPr>
          <w:rFonts w:ascii="Arial Black" w:hAnsi="Arial Black"/>
          <w:color w:val="231F20"/>
          <w:spacing w:val="-28"/>
        </w:rPr>
        <w:t> </w:t>
      </w:r>
      <w:r>
        <w:rPr>
          <w:color w:val="231F20"/>
        </w:rPr>
        <w:t>fibers</w:t>
      </w:r>
      <w:r>
        <w:rPr>
          <w:color w:val="231F20"/>
          <w:spacing w:val="-6"/>
        </w:rPr>
        <w:t> </w:t>
      </w:r>
      <w:r>
        <w:rPr>
          <w:color w:val="231F20"/>
        </w:rPr>
        <w:t>but</w:t>
      </w:r>
      <w:r>
        <w:rPr>
          <w:color w:val="231F20"/>
          <w:spacing w:val="-7"/>
        </w:rPr>
        <w:t> </w:t>
      </w:r>
      <w:r>
        <w:rPr>
          <w:color w:val="231F20"/>
        </w:rPr>
        <w:t>not</w:t>
      </w:r>
      <w:r>
        <w:rPr>
          <w:color w:val="231F20"/>
          <w:spacing w:val="-7"/>
        </w:rPr>
        <w:t> </w:t>
      </w:r>
      <w:r>
        <w:rPr>
          <w:color w:val="231F20"/>
        </w:rPr>
        <w:t>A</w:t>
      </w:r>
      <w:r>
        <w:rPr>
          <w:rFonts w:ascii="Arial Black" w:hAnsi="Arial Black"/>
          <w:color w:val="231F20"/>
        </w:rPr>
        <w:t>δ</w:t>
      </w:r>
      <w:r>
        <w:rPr>
          <w:rFonts w:ascii="Arial Black" w:hAnsi="Arial Black"/>
          <w:color w:val="231F20"/>
          <w:spacing w:val="-27"/>
        </w:rPr>
        <w:t> </w:t>
      </w:r>
      <w:r>
        <w:rPr>
          <w:color w:val="231F20"/>
        </w:rPr>
        <w:t>nociceptive</w:t>
      </w:r>
      <w:r>
        <w:rPr>
          <w:color w:val="231F20"/>
          <w:spacing w:val="-7"/>
        </w:rPr>
        <w:t> </w:t>
      </w:r>
      <w:r>
        <w:rPr>
          <w:color w:val="231F20"/>
        </w:rPr>
        <w:t>fibers.</w:t>
      </w:r>
    </w:p>
    <w:p>
      <w:pPr>
        <w:pStyle w:val="BodyText"/>
        <w:spacing w:line="222" w:lineRule="exact"/>
        <w:ind w:left="388"/>
      </w:pPr>
      <w:r>
        <w:rPr>
          <w:color w:val="231F20"/>
        </w:rPr>
        <w:t>The selectivity in the stimulation of A</w:t>
      </w:r>
      <w:r>
        <w:rPr>
          <w:rFonts w:ascii="Arial Black" w:hAnsi="Arial Black"/>
          <w:color w:val="231F20"/>
        </w:rPr>
        <w:t>β </w:t>
      </w:r>
      <w:r>
        <w:rPr>
          <w:color w:val="231F20"/>
        </w:rPr>
        <w:t>and A</w:t>
      </w:r>
      <w:r>
        <w:rPr>
          <w:rFonts w:ascii="Arial Black" w:hAnsi="Arial Black"/>
          <w:color w:val="231F20"/>
        </w:rPr>
        <w:t>δ </w:t>
      </w:r>
      <w:r>
        <w:rPr>
          <w:color w:val="231F20"/>
        </w:rPr>
        <w:t>fibers</w:t>
      </w:r>
    </w:p>
    <w:p>
      <w:pPr>
        <w:pStyle w:val="BodyText"/>
        <w:spacing w:line="213" w:lineRule="auto" w:before="7"/>
        <w:ind w:right="155"/>
        <w:jc w:val="both"/>
      </w:pPr>
      <w:r>
        <w:rPr/>
        <w:pict>
          <v:shape style="position:absolute;margin-left:301.521454pt;margin-top:22.913702pt;width:251.05pt;height:35.050pt;mso-position-horizontal-relative:page;mso-position-vertical-relative:paragraph;z-index:1744" type="#_x0000_t202" filled="true" fillcolor="#fde164" stroked="false">
            <v:textbox inset="0,0,0,0">
              <w:txbxContent>
                <w:p>
                  <w:pPr>
                    <w:pStyle w:val="BodyText"/>
                    <w:spacing w:line="213" w:lineRule="auto" w:before="7"/>
                    <w:ind w:left="42" w:right="40"/>
                    <w:jc w:val="both"/>
                  </w:pPr>
                  <w:r>
                    <w:rPr>
                      <w:color w:val="231F20"/>
                    </w:rPr>
                    <w:t>relatively high stimulation frequencies of 20–25  Hz  </w:t>
                  </w:r>
                  <w:r>
                    <w:rPr>
                      <w:color w:val="231F20"/>
                      <w:spacing w:val="-4"/>
                    </w:rPr>
                    <w:t>are  </w:t>
                  </w:r>
                  <w:r>
                    <w:rPr>
                      <w:color w:val="231F20"/>
                    </w:rPr>
                    <w:t>required for the peripheral electrical stimulation of the parasympathetic</w:t>
                  </w:r>
                  <w:r>
                    <w:rPr>
                      <w:color w:val="231F20"/>
                      <w:spacing w:val="14"/>
                    </w:rPr>
                    <w:t> </w:t>
                  </w:r>
                  <w:r>
                    <w:rPr>
                      <w:color w:val="231F20"/>
                    </w:rPr>
                    <w:t>system,</w:t>
                  </w:r>
                  <w:r>
                    <w:rPr>
                      <w:color w:val="231F20"/>
                      <w:spacing w:val="15"/>
                    </w:rPr>
                    <w:t> </w:t>
                  </w:r>
                  <w:r>
                    <w:rPr>
                      <w:color w:val="231F20"/>
                    </w:rPr>
                    <w:t>whereas</w:t>
                  </w:r>
                  <w:r>
                    <w:rPr>
                      <w:color w:val="231F20"/>
                      <w:spacing w:val="14"/>
                    </w:rPr>
                    <w:t> </w:t>
                  </w:r>
                  <w:r>
                    <w:rPr>
                      <w:color w:val="231F20"/>
                    </w:rPr>
                    <w:t>low</w:t>
                  </w:r>
                  <w:r>
                    <w:rPr>
                      <w:color w:val="231F20"/>
                      <w:spacing w:val="14"/>
                    </w:rPr>
                    <w:t> </w:t>
                  </w:r>
                  <w:r>
                    <w:rPr>
                      <w:color w:val="231F20"/>
                    </w:rPr>
                    <w:t>frequencies</w:t>
                  </w:r>
                  <w:r>
                    <w:rPr>
                      <w:color w:val="231F20"/>
                      <w:spacing w:val="15"/>
                    </w:rPr>
                    <w:t> </w:t>
                  </w:r>
                  <w:r>
                    <w:rPr>
                      <w:color w:val="231F20"/>
                    </w:rPr>
                    <w:t>of</w:t>
                  </w:r>
                  <w:r>
                    <w:rPr>
                      <w:color w:val="231F20"/>
                      <w:spacing w:val="14"/>
                    </w:rPr>
                    <w:t> </w:t>
                  </w:r>
                  <w:r>
                    <w:rPr>
                      <w:color w:val="231F20"/>
                      <w:spacing w:val="-3"/>
                    </w:rPr>
                    <w:t>0.5–</w:t>
                  </w:r>
                </w:p>
              </w:txbxContent>
            </v:textbox>
            <v:fill opacity="26214f" type="solid"/>
            <w10:wrap type="none"/>
          </v:shape>
        </w:pict>
      </w:r>
      <w:r>
        <w:rPr/>
        <w:pict>
          <v:shape style="position:absolute;margin-left:529.378845pt;margin-top:11.456702pt;width:23.2pt;height:11.5pt;mso-position-horizontal-relative:page;mso-position-vertical-relative:paragraph;z-index:-41704" type="#_x0000_t202" filled="true" fillcolor="#fde164" stroked="false">
            <v:textbox inset="0,0,0,0">
              <w:txbxContent>
                <w:p>
                  <w:pPr>
                    <w:pStyle w:val="BodyText"/>
                    <w:spacing w:line="229" w:lineRule="exact"/>
                    <w:ind w:left="42"/>
                  </w:pPr>
                  <w:r>
                    <w:rPr>
                      <w:color w:val="231F20"/>
                    </w:rPr>
                    <w:t>Here</w:t>
                  </w:r>
                </w:p>
              </w:txbxContent>
            </v:textbox>
            <v:fill opacity="26214f" type="solid"/>
            <w10:wrap type="none"/>
          </v:shape>
        </w:pict>
      </w:r>
      <w:r>
        <w:rPr>
          <w:color w:val="231F20"/>
        </w:rPr>
        <w:t>highly  depends  on  the  stimulation   pattern,   as   supported  by the experimental evidence (</w:t>
      </w:r>
      <w:hyperlink w:history="true" w:anchor="_bookmark28">
        <w:r>
          <w:rPr>
            <w:color w:val="6D6E71"/>
          </w:rPr>
          <w:t>Dietrich et al.</w:t>
        </w:r>
      </w:hyperlink>
      <w:r>
        <w:rPr>
          <w:color w:val="6D6E71"/>
        </w:rPr>
        <w:t>,</w:t>
      </w:r>
      <w:r>
        <w:rPr>
          <w:color w:val="6D6E71"/>
          <w:spacing w:val="-6"/>
        </w:rPr>
        <w:t> </w:t>
      </w:r>
      <w:hyperlink w:history="true" w:anchor="_bookmark28">
        <w:r>
          <w:rPr>
            <w:color w:val="6D6E71"/>
          </w:rPr>
          <w:t>2008</w:t>
        </w:r>
      </w:hyperlink>
      <w:r>
        <w:rPr>
          <w:color w:val="231F20"/>
        </w:rPr>
        <w:t>).</w:t>
      </w:r>
    </w:p>
    <w:p>
      <w:pPr>
        <w:spacing w:after="0" w:line="213" w:lineRule="auto"/>
        <w:jc w:val="both"/>
        <w:sectPr>
          <w:type w:val="continuous"/>
          <w:pgSz w:w="11910" w:h="15600"/>
          <w:pgMar w:top="520" w:bottom="780" w:left="740" w:right="740"/>
          <w:cols w:num="2" w:equalWidth="0">
            <w:col w:w="5095" w:space="79"/>
            <w:col w:w="5256"/>
          </w:cols>
        </w:sectPr>
      </w:pPr>
    </w:p>
    <w:p>
      <w:pPr>
        <w:pStyle w:val="BodyText"/>
        <w:spacing w:line="242" w:lineRule="exact"/>
        <w:ind w:left="116"/>
        <w:rPr>
          <w:sz w:val="20"/>
        </w:rPr>
      </w:pPr>
      <w:r>
        <w:rPr/>
        <w:pict>
          <v:shape style="position:absolute;margin-left:42.835449pt;margin-top:12.1313pt;width:91.85pt;height:11.5pt;mso-position-horizontal-relative:page;mso-position-vertical-relative:paragraph;z-index:1672" type="#_x0000_t202" filled="true" fillcolor="#fde164" stroked="false">
            <v:textbox inset="0,0,0,0">
              <w:txbxContent>
                <w:p>
                  <w:pPr>
                    <w:pStyle w:val="BodyText"/>
                    <w:spacing w:line="229" w:lineRule="exact"/>
                    <w:ind w:left="42"/>
                  </w:pPr>
                  <w:r>
                    <w:rPr>
                      <w:color w:val="231F20"/>
                    </w:rPr>
                    <w:t>input to the brainstem.</w:t>
                  </w:r>
                </w:p>
              </w:txbxContent>
            </v:textbox>
            <v:fill opacity="26214f" type="solid"/>
            <w10:wrap type="none"/>
          </v:shape>
        </w:pict>
      </w:r>
      <w:r>
        <w:rPr/>
        <w:pict>
          <v:shape style="position:absolute;margin-left:301.521454pt;margin-top:23.5879pt;width:183.9pt;height:11.5pt;mso-position-horizontal-relative:page;mso-position-vertical-relative:paragraph;z-index:-41752" type="#_x0000_t202" filled="true" fillcolor="#fde164" stroked="false">
            <v:textbox inset="0,0,0,0">
              <w:txbxContent>
                <w:p>
                  <w:pPr>
                    <w:pStyle w:val="BodyText"/>
                    <w:spacing w:line="229" w:lineRule="exact"/>
                    <w:ind w:left="42" w:right="-116"/>
                  </w:pPr>
                  <w:r>
                    <w:rPr>
                      <w:color w:val="231F20"/>
                    </w:rPr>
                    <w:t>10 Hz are required for sympathetic system.</w:t>
                  </w:r>
                  <w:r>
                    <w:rPr>
                      <w:color w:val="231F20"/>
                      <w:spacing w:val="20"/>
                    </w:rPr>
                    <w:t> </w:t>
                  </w:r>
                  <w:r>
                    <w:rPr>
                      <w:color w:val="231F20"/>
                    </w:rPr>
                    <w:t>H</w:t>
                  </w:r>
                </w:p>
              </w:txbxContent>
            </v:textbox>
            <v:fill opacity="26214f" type="solid"/>
            <w10:wrap type="none"/>
          </v:shape>
        </w:pict>
      </w:r>
      <w:r>
        <w:rPr>
          <w:position w:val="-4"/>
          <w:sz w:val="20"/>
        </w:rPr>
        <w:pict>
          <v:shape style="width:251.05pt;height:12.15pt;mso-position-horizontal-relative:char;mso-position-vertical-relative:line" type="#_x0000_t202" filled="true" fillcolor="#fde164" stroked="false">
            <w10:anchorlock/>
            <v:textbox inset="0,0,0,0">
              <w:txbxContent>
                <w:p>
                  <w:pPr>
                    <w:pStyle w:val="BodyText"/>
                    <w:spacing w:line="243" w:lineRule="exact"/>
                    <w:ind w:left="42"/>
                  </w:pPr>
                  <w:r>
                    <w:rPr>
                      <w:color w:val="231F20"/>
                    </w:rPr>
                    <w:t>may</w:t>
                  </w:r>
                  <w:r>
                    <w:rPr>
                      <w:color w:val="231F20"/>
                      <w:spacing w:val="-9"/>
                    </w:rPr>
                    <w:t> </w:t>
                  </w:r>
                  <w:r>
                    <w:rPr>
                      <w:color w:val="231F20"/>
                    </w:rPr>
                    <w:t>potentially</w:t>
                  </w:r>
                  <w:r>
                    <w:rPr>
                      <w:color w:val="231F20"/>
                      <w:spacing w:val="-9"/>
                    </w:rPr>
                    <w:t> </w:t>
                  </w:r>
                  <w:r>
                    <w:rPr>
                      <w:color w:val="231F20"/>
                    </w:rPr>
                    <w:t>boost</w:t>
                  </w:r>
                  <w:r>
                    <w:rPr>
                      <w:color w:val="231F20"/>
                      <w:spacing w:val="-9"/>
                    </w:rPr>
                    <w:t> </w:t>
                  </w:r>
                  <w:r>
                    <w:rPr>
                      <w:color w:val="231F20"/>
                    </w:rPr>
                    <w:t>stimulation</w:t>
                  </w:r>
                  <w:r>
                    <w:rPr>
                      <w:color w:val="231F20"/>
                      <w:spacing w:val="-8"/>
                    </w:rPr>
                    <w:t> </w:t>
                  </w:r>
                  <w:r>
                    <w:rPr>
                      <w:color w:val="231F20"/>
                    </w:rPr>
                    <w:t>effects</w:t>
                  </w:r>
                  <w:r>
                    <w:rPr>
                      <w:color w:val="231F20"/>
                      <w:spacing w:val="-9"/>
                    </w:rPr>
                    <w:t> </w:t>
                  </w:r>
                  <w:r>
                    <w:rPr>
                      <w:color w:val="231F20"/>
                    </w:rPr>
                    <w:t>due</w:t>
                  </w:r>
                  <w:r>
                    <w:rPr>
                      <w:color w:val="231F20"/>
                      <w:spacing w:val="-9"/>
                    </w:rPr>
                    <w:t> </w:t>
                  </w:r>
                  <w:r>
                    <w:rPr>
                      <w:color w:val="231F20"/>
                    </w:rPr>
                    <w:t>to</w:t>
                  </w:r>
                  <w:r>
                    <w:rPr>
                      <w:color w:val="231F20"/>
                      <w:spacing w:val="-9"/>
                    </w:rPr>
                    <w:t> </w:t>
                  </w:r>
                  <w:r>
                    <w:rPr>
                      <w:color w:val="231F20"/>
                    </w:rPr>
                    <w:t>increased</w:t>
                  </w:r>
                  <w:r>
                    <w:rPr>
                      <w:color w:val="231F20"/>
                      <w:spacing w:val="-8"/>
                    </w:rPr>
                    <w:t> </w:t>
                  </w:r>
                  <w:r>
                    <w:rPr>
                      <w:color w:val="231F20"/>
                    </w:rPr>
                    <w:t>sensory</w:t>
                  </w:r>
                </w:p>
              </w:txbxContent>
            </v:textbox>
            <v:fill opacity="26214f" type="solid"/>
          </v:shape>
        </w:pict>
      </w:r>
      <w:r>
        <w:rPr>
          <w:position w:val="-4"/>
          <w:sz w:val="20"/>
        </w:rPr>
      </w:r>
    </w:p>
    <w:p>
      <w:pPr>
        <w:pStyle w:val="BodyText"/>
        <w:spacing w:before="6"/>
        <w:ind w:left="0"/>
        <w:rPr>
          <w:sz w:val="8"/>
        </w:rPr>
      </w:pPr>
    </w:p>
    <w:p>
      <w:pPr>
        <w:spacing w:after="0"/>
        <w:rPr>
          <w:sz w:val="8"/>
        </w:rPr>
        <w:sectPr>
          <w:type w:val="continuous"/>
          <w:pgSz w:w="11910" w:h="15600"/>
          <w:pgMar w:top="520" w:bottom="780" w:left="740" w:right="740"/>
        </w:sectPr>
      </w:pPr>
    </w:p>
    <w:p>
      <w:pPr>
        <w:pStyle w:val="BodyText"/>
        <w:spacing w:before="9"/>
        <w:ind w:left="0"/>
        <w:rPr>
          <w:sz w:val="22"/>
        </w:rPr>
      </w:pPr>
    </w:p>
    <w:p>
      <w:pPr>
        <w:pStyle w:val="Heading2"/>
      </w:pPr>
      <w:bookmarkStart w:name="Stimulation Patterns" w:id="9"/>
      <w:bookmarkEnd w:id="9"/>
      <w:r>
        <w:rPr/>
      </w:r>
      <w:r>
        <w:rPr>
          <w:color w:val="231F20"/>
          <w:w w:val="105"/>
        </w:rPr>
        <w:t>Stimulation Patterns</w:t>
      </w:r>
    </w:p>
    <w:p>
      <w:pPr>
        <w:pStyle w:val="BodyText"/>
        <w:spacing w:line="213" w:lineRule="auto" w:before="30"/>
        <w:jc w:val="both"/>
      </w:pPr>
      <w:r>
        <w:rPr>
          <w:color w:val="231F20"/>
        </w:rPr>
        <w:t>The second aim with the optimal recruitment of  aVN  </w:t>
      </w:r>
      <w:r>
        <w:rPr>
          <w:color w:val="231F20"/>
          <w:spacing w:val="-4"/>
        </w:rPr>
        <w:t>fibers </w:t>
      </w:r>
      <w:r>
        <w:rPr>
          <w:color w:val="231F20"/>
        </w:rPr>
        <w:t>near electrodes is even less straightforward. The diffuse mode   of the transcutaneous aVNS per-se does hardly allow a </w:t>
      </w:r>
      <w:r>
        <w:rPr>
          <w:color w:val="231F20"/>
          <w:spacing w:val="-3"/>
        </w:rPr>
        <w:t>targeted </w:t>
      </w:r>
      <w:r>
        <w:rPr>
          <w:color w:val="231F20"/>
        </w:rPr>
        <w:t>optimisation of stimulation of particular aVN fibers, </w:t>
      </w:r>
      <w:r>
        <w:rPr>
          <w:color w:val="231F20"/>
          <w:spacing w:val="-3"/>
        </w:rPr>
        <w:t>whereas </w:t>
      </w:r>
      <w:r>
        <w:rPr>
          <w:color w:val="231F20"/>
        </w:rPr>
        <w:t>local over-stimulation and under-stimulation of fibers</w:t>
      </w:r>
      <w:r>
        <w:rPr>
          <w:color w:val="231F20"/>
          <w:spacing w:val="17"/>
        </w:rPr>
        <w:t> </w:t>
      </w:r>
      <w:r>
        <w:rPr>
          <w:color w:val="231F20"/>
          <w:spacing w:val="-5"/>
        </w:rPr>
        <w:t>are</w:t>
      </w:r>
    </w:p>
    <w:p>
      <w:pPr>
        <w:pStyle w:val="BodyText"/>
        <w:spacing w:line="211" w:lineRule="auto" w:before="109"/>
        <w:ind w:right="155" w:firstLine="3737"/>
        <w:jc w:val="both"/>
      </w:pPr>
      <w:r>
        <w:rPr/>
        <w:br w:type="column"/>
      </w:r>
      <w:r>
        <w:rPr>
          <w:color w:val="231F20"/>
        </w:rPr>
        <w:t>igh </w:t>
      </w:r>
      <w:r>
        <w:rPr>
          <w:color w:val="231F20"/>
          <w:spacing w:val="-3"/>
        </w:rPr>
        <w:t>frequencies </w:t>
      </w:r>
      <w:r>
        <w:rPr>
          <w:color w:val="231F20"/>
        </w:rPr>
        <w:t>show  narrow  depolarizing  half-period  durations  and   </w:t>
      </w:r>
      <w:r>
        <w:rPr>
          <w:color w:val="231F20"/>
          <w:spacing w:val="-4"/>
        </w:rPr>
        <w:t>thus  </w:t>
      </w:r>
      <w:r>
        <w:rPr>
          <w:color w:val="231F20"/>
        </w:rPr>
        <w:t>are only able to recruit easily excitable thick nerve fibers (</w:t>
      </w:r>
      <w:hyperlink w:history="true" w:anchor="_bookmark48">
        <w:r>
          <w:rPr>
            <w:color w:val="6D6E71"/>
          </w:rPr>
          <w:t>Kaniusas</w:t>
        </w:r>
      </w:hyperlink>
      <w:r>
        <w:rPr>
          <w:color w:val="6D6E71"/>
        </w:rPr>
        <w:t>,  </w:t>
      </w:r>
      <w:hyperlink w:history="true" w:anchor="_bookmark48">
        <w:r>
          <w:rPr>
            <w:color w:val="6D6E71"/>
          </w:rPr>
          <w:t>2019</w:t>
        </w:r>
      </w:hyperlink>
      <w:r>
        <w:rPr>
          <w:color w:val="231F20"/>
        </w:rPr>
        <w:t>),  such  as  myelinated  A</w:t>
      </w:r>
      <w:r>
        <w:rPr>
          <w:rFonts w:ascii="Arial Black" w:hAnsi="Arial Black"/>
          <w:color w:val="231F20"/>
        </w:rPr>
        <w:t>β  </w:t>
      </w:r>
      <w:r>
        <w:rPr>
          <w:color w:val="231F20"/>
        </w:rPr>
        <w:t>fibers,   which   may indirectly activate the  parasympathetic  system.  In contrast, wide  depolarizing  half-periods  of  low  </w:t>
      </w:r>
      <w:r>
        <w:rPr>
          <w:color w:val="231F20"/>
          <w:spacing w:val="-3"/>
        </w:rPr>
        <w:t>frequencies  </w:t>
      </w:r>
      <w:r>
        <w:rPr>
          <w:color w:val="231F20"/>
        </w:rPr>
        <w:t>are required to recruit thin nerve fibers, such as</w:t>
      </w:r>
      <w:r>
        <w:rPr>
          <w:color w:val="231F20"/>
          <w:spacing w:val="36"/>
        </w:rPr>
        <w:t> </w:t>
      </w:r>
      <w:r>
        <w:rPr>
          <w:color w:val="231F20"/>
        </w:rPr>
        <w:t>myelinated</w:t>
      </w:r>
    </w:p>
    <w:p>
      <w:pPr>
        <w:spacing w:after="0" w:line="211" w:lineRule="auto"/>
        <w:jc w:val="both"/>
        <w:sectPr>
          <w:type w:val="continuous"/>
          <w:pgSz w:w="11910" w:h="15600"/>
          <w:pgMar w:top="520" w:bottom="780" w:left="740" w:right="740"/>
          <w:cols w:num="2" w:equalWidth="0">
            <w:col w:w="5095" w:space="79"/>
            <w:col w:w="5256"/>
          </w:cols>
        </w:sectPr>
      </w:pPr>
    </w:p>
    <w:p>
      <w:pPr>
        <w:pStyle w:val="BodyText"/>
        <w:spacing w:before="6"/>
        <w:ind w:left="0"/>
        <w:rPr>
          <w:sz w:val="29"/>
        </w:rPr>
      </w:pPr>
    </w:p>
    <w:p>
      <w:pPr>
        <w:pStyle w:val="BodyText"/>
        <w:rPr>
          <w:sz w:val="20"/>
        </w:rPr>
      </w:pPr>
      <w:r>
        <w:rPr>
          <w:sz w:val="20"/>
        </w:rPr>
        <w:pict>
          <v:group style="width:505.45pt;height:196.65pt;mso-position-horizontal-relative:char;mso-position-vertical-relative:line" coordorigin="0,0" coordsize="10109,3933">
            <v:shape style="position:absolute;left:1289;top:124;width:7532;height:2556" type="#_x0000_t75" stroked="false">
              <v:imagedata r:id="rId37" o:title=""/>
            </v:shape>
            <v:shape style="position:absolute;left:5206;top:148;width:102;height:121" type="#_x0000_t75" stroked="false">
              <v:imagedata r:id="rId38" o:title=""/>
            </v:shape>
            <v:shape style="position:absolute;left:2891;top:152;width:98;height:117" type="#_x0000_t75" stroked="false">
              <v:imagedata r:id="rId39" o:title=""/>
            </v:shape>
            <v:shape style="position:absolute;left:1240;top:151;width:118;height:117" type="#_x0000_t75" stroked="false">
              <v:imagedata r:id="rId40" o:title=""/>
            </v:shape>
            <v:shape style="position:absolute;left:2;top:2;width:10104;height:3928" type="#_x0000_t202" filled="false" stroked="true" strokeweight=".249pt" strokecolor="#000000">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83" w:lineRule="auto" w:before="136"/>
                      <w:ind w:left="119" w:right="114" w:firstLine="0"/>
                      <w:jc w:val="left"/>
                      <w:rPr>
                        <w:rFonts w:ascii="Arial" w:hAnsi="Arial"/>
                        <w:sz w:val="14"/>
                      </w:rPr>
                    </w:pPr>
                    <w:bookmarkStart w:name="_bookmark2" w:id="10"/>
                    <w:bookmarkEnd w:id="10"/>
                    <w:r>
                      <w:rPr/>
                    </w:r>
                    <w:r>
                      <w:rPr>
                        <w:rFonts w:ascii="Arial" w:hAnsi="Arial"/>
                        <w:color w:val="231F20"/>
                        <w:sz w:val="14"/>
                      </w:rPr>
                      <w:t>FIGURE</w:t>
                    </w:r>
                    <w:r>
                      <w:rPr>
                        <w:rFonts w:ascii="Arial" w:hAnsi="Arial"/>
                        <w:color w:val="231F20"/>
                        <w:spacing w:val="-14"/>
                        <w:sz w:val="14"/>
                      </w:rPr>
                      <w:t> </w:t>
                    </w:r>
                    <w:r>
                      <w:rPr>
                        <w:rFonts w:ascii="Arial" w:hAnsi="Arial"/>
                        <w:color w:val="231F20"/>
                        <w:sz w:val="14"/>
                      </w:rPr>
                      <w:t>2</w:t>
                    </w:r>
                    <w:r>
                      <w:rPr>
                        <w:rFonts w:ascii="Arial" w:hAnsi="Arial"/>
                        <w:color w:val="231F20"/>
                        <w:spacing w:val="-13"/>
                        <w:sz w:val="14"/>
                      </w:rPr>
                      <w:t> </w:t>
                    </w:r>
                    <w:r>
                      <w:rPr>
                        <w:rFonts w:ascii="Arial" w:hAnsi="Arial"/>
                        <w:color w:val="231F20"/>
                        <w:sz w:val="14"/>
                      </w:rPr>
                      <w:t>|</w:t>
                    </w:r>
                    <w:r>
                      <w:rPr>
                        <w:rFonts w:ascii="Arial" w:hAnsi="Arial"/>
                        <w:color w:val="231F20"/>
                        <w:spacing w:val="-13"/>
                        <w:sz w:val="14"/>
                      </w:rPr>
                      <w:t> </w:t>
                    </w:r>
                    <w:r>
                      <w:rPr>
                        <w:rFonts w:ascii="Arial" w:hAnsi="Arial"/>
                        <w:color w:val="231F20"/>
                        <w:sz w:val="14"/>
                      </w:rPr>
                      <w:t>Wiring</w:t>
                    </w:r>
                    <w:r>
                      <w:rPr>
                        <w:rFonts w:ascii="Arial" w:hAnsi="Arial"/>
                        <w:color w:val="231F20"/>
                        <w:spacing w:val="-13"/>
                        <w:sz w:val="14"/>
                      </w:rPr>
                      <w:t> </w:t>
                    </w:r>
                    <w:r>
                      <w:rPr>
                        <w:rFonts w:ascii="Arial" w:hAnsi="Arial"/>
                        <w:color w:val="231F20"/>
                        <w:sz w:val="14"/>
                      </w:rPr>
                      <w:t>of</w:t>
                    </w:r>
                    <w:r>
                      <w:rPr>
                        <w:rFonts w:ascii="Arial" w:hAnsi="Arial"/>
                        <w:color w:val="231F20"/>
                        <w:spacing w:val="-13"/>
                        <w:sz w:val="14"/>
                      </w:rPr>
                      <w:t> </w:t>
                    </w:r>
                    <w:r>
                      <w:rPr>
                        <w:rFonts w:ascii="Arial" w:hAnsi="Arial"/>
                        <w:color w:val="231F20"/>
                        <w:sz w:val="14"/>
                      </w:rPr>
                      <w:t>vessels</w:t>
                    </w:r>
                    <w:r>
                      <w:rPr>
                        <w:rFonts w:ascii="Arial" w:hAnsi="Arial"/>
                        <w:color w:val="231F20"/>
                        <w:spacing w:val="-13"/>
                        <w:sz w:val="14"/>
                      </w:rPr>
                      <w:t> </w:t>
                    </w:r>
                    <w:r>
                      <w:rPr>
                        <w:rFonts w:ascii="Arial" w:hAnsi="Arial"/>
                        <w:color w:val="231F20"/>
                        <w:sz w:val="14"/>
                      </w:rPr>
                      <w:t>and</w:t>
                    </w:r>
                    <w:r>
                      <w:rPr>
                        <w:rFonts w:ascii="Arial" w:hAnsi="Arial"/>
                        <w:color w:val="231F20"/>
                        <w:spacing w:val="-13"/>
                        <w:sz w:val="14"/>
                      </w:rPr>
                      <w:t> </w:t>
                    </w:r>
                    <w:r>
                      <w:rPr>
                        <w:rFonts w:ascii="Arial" w:hAnsi="Arial"/>
                        <w:color w:val="231F20"/>
                        <w:sz w:val="14"/>
                      </w:rPr>
                      <w:t>nerves</w:t>
                    </w:r>
                    <w:r>
                      <w:rPr>
                        <w:rFonts w:ascii="Arial" w:hAnsi="Arial"/>
                        <w:color w:val="231F20"/>
                        <w:spacing w:val="-13"/>
                        <w:sz w:val="14"/>
                      </w:rPr>
                      <w:t> </w:t>
                    </w:r>
                    <w:r>
                      <w:rPr>
                        <w:rFonts w:ascii="Arial" w:hAnsi="Arial"/>
                        <w:color w:val="231F20"/>
                        <w:sz w:val="14"/>
                      </w:rPr>
                      <w:t>in</w:t>
                    </w:r>
                    <w:r>
                      <w:rPr>
                        <w:rFonts w:ascii="Arial" w:hAnsi="Arial"/>
                        <w:color w:val="231F20"/>
                        <w:spacing w:val="-13"/>
                        <w:sz w:val="14"/>
                      </w:rPr>
                      <w:t> </w:t>
                    </w:r>
                    <w:r>
                      <w:rPr>
                        <w:rFonts w:ascii="Arial" w:hAnsi="Arial"/>
                        <w:color w:val="231F20"/>
                        <w:sz w:val="14"/>
                      </w:rPr>
                      <w:t>the</w:t>
                    </w:r>
                    <w:r>
                      <w:rPr>
                        <w:rFonts w:ascii="Arial" w:hAnsi="Arial"/>
                        <w:color w:val="231F20"/>
                        <w:spacing w:val="-13"/>
                        <w:sz w:val="14"/>
                      </w:rPr>
                      <w:t> </w:t>
                    </w:r>
                    <w:r>
                      <w:rPr>
                        <w:rFonts w:ascii="Arial" w:hAnsi="Arial"/>
                        <w:color w:val="231F20"/>
                        <w:sz w:val="14"/>
                      </w:rPr>
                      <w:t>ear</w:t>
                    </w:r>
                    <w:r>
                      <w:rPr>
                        <w:rFonts w:ascii="Arial" w:hAnsi="Arial"/>
                        <w:color w:val="231F20"/>
                        <w:spacing w:val="-14"/>
                        <w:sz w:val="14"/>
                      </w:rPr>
                      <w:t> </w:t>
                    </w:r>
                    <w:r>
                      <w:rPr>
                        <w:rFonts w:ascii="Arial" w:hAnsi="Arial"/>
                        <w:color w:val="231F20"/>
                        <w:sz w:val="14"/>
                      </w:rPr>
                      <w:t>for</w:t>
                    </w:r>
                    <w:r>
                      <w:rPr>
                        <w:rFonts w:ascii="Arial" w:hAnsi="Arial"/>
                        <w:color w:val="231F20"/>
                        <w:spacing w:val="-13"/>
                        <w:sz w:val="14"/>
                      </w:rPr>
                      <w:t> </w:t>
                    </w:r>
                    <w:r>
                      <w:rPr>
                        <w:rFonts w:ascii="Arial" w:hAnsi="Arial"/>
                        <w:color w:val="231F20"/>
                        <w:sz w:val="14"/>
                      </w:rPr>
                      <w:t>the</w:t>
                    </w:r>
                    <w:r>
                      <w:rPr>
                        <w:rFonts w:ascii="Arial" w:hAnsi="Arial"/>
                        <w:color w:val="231F20"/>
                        <w:spacing w:val="-13"/>
                        <w:sz w:val="14"/>
                      </w:rPr>
                      <w:t> </w:t>
                    </w:r>
                    <w:r>
                      <w:rPr>
                        <w:rFonts w:ascii="Arial" w:hAnsi="Arial"/>
                        <w:color w:val="231F20"/>
                        <w:sz w:val="14"/>
                      </w:rPr>
                      <w:t>percutaneous</w:t>
                    </w:r>
                    <w:r>
                      <w:rPr>
                        <w:rFonts w:ascii="Arial" w:hAnsi="Arial"/>
                        <w:color w:val="231F20"/>
                        <w:spacing w:val="-13"/>
                        <w:sz w:val="14"/>
                      </w:rPr>
                      <w:t> </w:t>
                    </w:r>
                    <w:r>
                      <w:rPr>
                        <w:rFonts w:ascii="Arial" w:hAnsi="Arial"/>
                        <w:color w:val="231F20"/>
                        <w:sz w:val="14"/>
                      </w:rPr>
                      <w:t>aVNS.</w:t>
                    </w:r>
                    <w:r>
                      <w:rPr>
                        <w:rFonts w:ascii="Arial" w:hAnsi="Arial"/>
                        <w:color w:val="231F20"/>
                        <w:spacing w:val="-13"/>
                        <w:sz w:val="14"/>
                      </w:rPr>
                      <w:t> </w:t>
                    </w:r>
                    <w:r>
                      <w:rPr>
                        <w:rFonts w:ascii="Arial" w:hAnsi="Arial"/>
                        <w:color w:val="231F20"/>
                        <w:sz w:val="14"/>
                      </w:rPr>
                      <w:t>(A–C)</w:t>
                    </w:r>
                    <w:r>
                      <w:rPr>
                        <w:rFonts w:ascii="Arial" w:hAnsi="Arial"/>
                        <w:color w:val="231F20"/>
                        <w:spacing w:val="-13"/>
                        <w:sz w:val="14"/>
                      </w:rPr>
                      <w:t> </w:t>
                    </w:r>
                    <w:r>
                      <w:rPr>
                        <w:rFonts w:ascii="Arial" w:hAnsi="Arial"/>
                        <w:color w:val="231F20"/>
                        <w:sz w:val="14"/>
                      </w:rPr>
                      <w:t>High-resolution</w:t>
                    </w:r>
                    <w:r>
                      <w:rPr>
                        <w:rFonts w:ascii="Arial" w:hAnsi="Arial"/>
                        <w:color w:val="231F20"/>
                        <w:spacing w:val="-13"/>
                        <w:sz w:val="14"/>
                      </w:rPr>
                      <w:t> </w:t>
                    </w:r>
                    <w:r>
                      <w:rPr>
                        <w:rFonts w:ascii="Arial" w:hAnsi="Arial"/>
                        <w:color w:val="231F20"/>
                        <w:sz w:val="14"/>
                      </w:rPr>
                      <w:t>episcopic</w:t>
                    </w:r>
                    <w:r>
                      <w:rPr>
                        <w:rFonts w:ascii="Arial" w:hAnsi="Arial"/>
                        <w:color w:val="231F20"/>
                        <w:spacing w:val="-13"/>
                        <w:sz w:val="14"/>
                      </w:rPr>
                      <w:t> </w:t>
                    </w:r>
                    <w:r>
                      <w:rPr>
                        <w:rFonts w:ascii="Arial" w:hAnsi="Arial"/>
                        <w:color w:val="231F20"/>
                        <w:sz w:val="14"/>
                      </w:rPr>
                      <w:t>images</w:t>
                    </w:r>
                    <w:r>
                      <w:rPr>
                        <w:rFonts w:ascii="Arial" w:hAnsi="Arial"/>
                        <w:color w:val="231F20"/>
                        <w:spacing w:val="-13"/>
                        <w:sz w:val="14"/>
                      </w:rPr>
                      <w:t> </w:t>
                    </w:r>
                    <w:r>
                      <w:rPr>
                        <w:rFonts w:ascii="Arial" w:hAnsi="Arial"/>
                        <w:color w:val="231F20"/>
                        <w:sz w:val="14"/>
                      </w:rPr>
                      <w:t>of</w:t>
                    </w:r>
                    <w:r>
                      <w:rPr>
                        <w:rFonts w:ascii="Arial" w:hAnsi="Arial"/>
                        <w:color w:val="231F20"/>
                        <w:spacing w:val="-13"/>
                        <w:sz w:val="14"/>
                      </w:rPr>
                      <w:t> </w:t>
                    </w:r>
                    <w:r>
                      <w:rPr>
                        <w:rFonts w:ascii="Arial" w:hAnsi="Arial"/>
                        <w:color w:val="231F20"/>
                        <w:sz w:val="14"/>
                      </w:rPr>
                      <w:t>a</w:t>
                    </w:r>
                    <w:r>
                      <w:rPr>
                        <w:rFonts w:ascii="Arial" w:hAnsi="Arial"/>
                        <w:color w:val="231F20"/>
                        <w:spacing w:val="-13"/>
                        <w:sz w:val="14"/>
                      </w:rPr>
                      <w:t> </w:t>
                    </w:r>
                    <w:r>
                      <w:rPr>
                        <w:rFonts w:ascii="Arial" w:hAnsi="Arial"/>
                        <w:color w:val="231F20"/>
                        <w:sz w:val="14"/>
                      </w:rPr>
                      <w:t>volume</w:t>
                    </w:r>
                    <w:r>
                      <w:rPr>
                        <w:rFonts w:ascii="Arial" w:hAnsi="Arial"/>
                        <w:color w:val="231F20"/>
                        <w:spacing w:val="-14"/>
                        <w:sz w:val="14"/>
                      </w:rPr>
                      <w:t> </w:t>
                    </w:r>
                    <w:r>
                      <w:rPr>
                        <w:rFonts w:ascii="Arial" w:hAnsi="Arial"/>
                        <w:color w:val="231F20"/>
                        <w:sz w:val="14"/>
                      </w:rPr>
                      <w:t>biopsy</w:t>
                    </w:r>
                    <w:r>
                      <w:rPr>
                        <w:rFonts w:ascii="Arial" w:hAnsi="Arial"/>
                        <w:color w:val="231F20"/>
                        <w:spacing w:val="-13"/>
                        <w:sz w:val="14"/>
                      </w:rPr>
                      <w:t> </w:t>
                    </w:r>
                    <w:r>
                      <w:rPr>
                        <w:rFonts w:ascii="Arial" w:hAnsi="Arial"/>
                        <w:color w:val="231F20"/>
                        <w:sz w:val="14"/>
                      </w:rPr>
                      <w:t>in</w:t>
                    </w:r>
                    <w:r>
                      <w:rPr>
                        <w:rFonts w:ascii="Arial" w:hAnsi="Arial"/>
                        <w:color w:val="231F20"/>
                        <w:spacing w:val="-13"/>
                        <w:sz w:val="14"/>
                      </w:rPr>
                      <w:t> </w:t>
                    </w:r>
                    <w:r>
                      <w:rPr>
                        <w:rFonts w:ascii="Arial" w:hAnsi="Arial"/>
                        <w:color w:val="231F20"/>
                        <w:sz w:val="14"/>
                      </w:rPr>
                      <w:t>the</w:t>
                    </w:r>
                    <w:r>
                      <w:rPr>
                        <w:rFonts w:ascii="Arial" w:hAnsi="Arial"/>
                        <w:color w:val="231F20"/>
                        <w:spacing w:val="-13"/>
                        <w:sz w:val="14"/>
                      </w:rPr>
                      <w:t> </w:t>
                    </w:r>
                    <w:r>
                      <w:rPr>
                        <w:rFonts w:ascii="Arial" w:hAnsi="Arial"/>
                        <w:color w:val="231F20"/>
                        <w:sz w:val="14"/>
                      </w:rPr>
                      <w:t>cymba</w:t>
                    </w:r>
                    <w:r>
                      <w:rPr>
                        <w:rFonts w:ascii="Arial" w:hAnsi="Arial"/>
                        <w:color w:val="231F20"/>
                        <w:spacing w:val="-13"/>
                        <w:sz w:val="14"/>
                      </w:rPr>
                      <w:t> </w:t>
                    </w:r>
                    <w:r>
                      <w:rPr>
                        <w:rFonts w:ascii="Arial" w:hAnsi="Arial"/>
                        <w:color w:val="231F20"/>
                        <w:sz w:val="14"/>
                      </w:rPr>
                      <w:t>conchae</w:t>
                    </w:r>
                    <w:r>
                      <w:rPr>
                        <w:rFonts w:ascii="Arial" w:hAnsi="Arial"/>
                        <w:color w:val="231F20"/>
                        <w:spacing w:val="-13"/>
                        <w:sz w:val="14"/>
                      </w:rPr>
                      <w:t> </w:t>
                    </w:r>
                    <w:r>
                      <w:rPr>
                        <w:rFonts w:ascii="Arial" w:hAnsi="Arial"/>
                        <w:color w:val="231F20"/>
                        <w:sz w:val="14"/>
                      </w:rPr>
                      <w:t>of one</w:t>
                    </w:r>
                    <w:r>
                      <w:rPr>
                        <w:rFonts w:ascii="Arial" w:hAnsi="Arial"/>
                        <w:color w:val="231F20"/>
                        <w:spacing w:val="-12"/>
                        <w:sz w:val="14"/>
                      </w:rPr>
                      <w:t> </w:t>
                    </w:r>
                    <w:r>
                      <w:rPr>
                        <w:rFonts w:ascii="Arial" w:hAnsi="Arial"/>
                        <w:color w:val="231F20"/>
                        <w:sz w:val="14"/>
                      </w:rPr>
                      <w:t>male</w:t>
                    </w:r>
                    <w:r>
                      <w:rPr>
                        <w:rFonts w:ascii="Arial" w:hAnsi="Arial"/>
                        <w:color w:val="231F20"/>
                        <w:spacing w:val="-12"/>
                        <w:sz w:val="14"/>
                      </w:rPr>
                      <w:t> </w:t>
                    </w:r>
                    <w:r>
                      <w:rPr>
                        <w:rFonts w:ascii="Arial" w:hAnsi="Arial"/>
                        <w:color w:val="231F20"/>
                        <w:sz w:val="14"/>
                      </w:rPr>
                      <w:t>cadaver</w:t>
                    </w:r>
                    <w:r>
                      <w:rPr>
                        <w:rFonts w:ascii="Arial" w:hAnsi="Arial"/>
                        <w:color w:val="231F20"/>
                        <w:spacing w:val="-12"/>
                        <w:sz w:val="14"/>
                      </w:rPr>
                      <w:t> </w:t>
                    </w:r>
                    <w:r>
                      <w:rPr>
                        <w:rFonts w:ascii="Arial" w:hAnsi="Arial"/>
                        <w:color w:val="231F20"/>
                        <w:spacing w:val="-4"/>
                        <w:sz w:val="14"/>
                      </w:rPr>
                      <w:t>ear.</w:t>
                    </w:r>
                    <w:r>
                      <w:rPr>
                        <w:rFonts w:ascii="Arial" w:hAnsi="Arial"/>
                        <w:color w:val="231F20"/>
                        <w:spacing w:val="-12"/>
                        <w:sz w:val="14"/>
                      </w:rPr>
                      <w:t> </w:t>
                    </w:r>
                    <w:r>
                      <w:rPr>
                        <w:rFonts w:ascii="Arial" w:hAnsi="Arial"/>
                        <w:color w:val="231F20"/>
                        <w:sz w:val="14"/>
                      </w:rPr>
                      <w:t>Indicated</w:t>
                    </w:r>
                    <w:r>
                      <w:rPr>
                        <w:rFonts w:ascii="Arial" w:hAnsi="Arial"/>
                        <w:color w:val="231F20"/>
                        <w:spacing w:val="-12"/>
                        <w:sz w:val="14"/>
                      </w:rPr>
                      <w:t> </w:t>
                    </w:r>
                    <w:r>
                      <w:rPr>
                        <w:rFonts w:ascii="Arial" w:hAnsi="Arial"/>
                        <w:color w:val="231F20"/>
                        <w:sz w:val="14"/>
                      </w:rPr>
                      <w:t>blood</w:t>
                    </w:r>
                    <w:r>
                      <w:rPr>
                        <w:rFonts w:ascii="Arial" w:hAnsi="Arial"/>
                        <w:color w:val="231F20"/>
                        <w:spacing w:val="-12"/>
                        <w:sz w:val="14"/>
                      </w:rPr>
                      <w:t> </w:t>
                    </w:r>
                    <w:r>
                      <w:rPr>
                        <w:rFonts w:ascii="Arial" w:hAnsi="Arial"/>
                        <w:color w:val="231F20"/>
                        <w:sz w:val="14"/>
                      </w:rPr>
                      <w:t>vessels</w:t>
                    </w:r>
                    <w:r>
                      <w:rPr>
                        <w:rFonts w:ascii="Arial" w:hAnsi="Arial"/>
                        <w:color w:val="231F20"/>
                        <w:spacing w:val="-11"/>
                        <w:sz w:val="14"/>
                      </w:rPr>
                      <w:t> </w:t>
                    </w:r>
                    <w:r>
                      <w:rPr>
                        <w:rFonts w:ascii="Arial" w:hAnsi="Arial"/>
                        <w:color w:val="231F20"/>
                        <w:sz w:val="14"/>
                      </w:rPr>
                      <w:t>(in</w:t>
                    </w:r>
                    <w:r>
                      <w:rPr>
                        <w:rFonts w:ascii="Arial" w:hAnsi="Arial"/>
                        <w:color w:val="231F20"/>
                        <w:spacing w:val="-12"/>
                        <w:sz w:val="14"/>
                      </w:rPr>
                      <w:t> </w:t>
                    </w:r>
                    <w:r>
                      <w:rPr>
                        <w:rFonts w:ascii="Arial" w:hAnsi="Arial"/>
                        <w:color w:val="231F20"/>
                        <w:sz w:val="14"/>
                      </w:rPr>
                      <w:t>red)</w:t>
                    </w:r>
                    <w:r>
                      <w:rPr>
                        <w:rFonts w:ascii="Arial" w:hAnsi="Arial"/>
                        <w:color w:val="231F20"/>
                        <w:spacing w:val="-12"/>
                        <w:sz w:val="14"/>
                      </w:rPr>
                      <w:t> </w:t>
                    </w:r>
                    <w:r>
                      <w:rPr>
                        <w:rFonts w:ascii="Arial" w:hAnsi="Arial"/>
                        <w:color w:val="231F20"/>
                        <w:sz w:val="14"/>
                      </w:rPr>
                      <w:t>and</w:t>
                    </w:r>
                    <w:r>
                      <w:rPr>
                        <w:rFonts w:ascii="Arial" w:hAnsi="Arial"/>
                        <w:color w:val="231F20"/>
                        <w:spacing w:val="-12"/>
                        <w:sz w:val="14"/>
                      </w:rPr>
                      <w:t> </w:t>
                    </w:r>
                    <w:r>
                      <w:rPr>
                        <w:rFonts w:ascii="Arial" w:hAnsi="Arial"/>
                        <w:color w:val="231F20"/>
                        <w:sz w:val="14"/>
                      </w:rPr>
                      <w:t>nerves</w:t>
                    </w:r>
                    <w:r>
                      <w:rPr>
                        <w:rFonts w:ascii="Arial" w:hAnsi="Arial"/>
                        <w:color w:val="231F20"/>
                        <w:spacing w:val="-12"/>
                        <w:sz w:val="14"/>
                      </w:rPr>
                      <w:t> </w:t>
                    </w:r>
                    <w:r>
                      <w:rPr>
                        <w:rFonts w:ascii="Arial" w:hAnsi="Arial"/>
                        <w:color w:val="231F20"/>
                        <w:sz w:val="14"/>
                      </w:rPr>
                      <w:t>(green)</w:t>
                    </w:r>
                    <w:r>
                      <w:rPr>
                        <w:rFonts w:ascii="Arial" w:hAnsi="Arial"/>
                        <w:color w:val="231F20"/>
                        <w:spacing w:val="-12"/>
                        <w:sz w:val="14"/>
                      </w:rPr>
                      <w:t> </w:t>
                    </w:r>
                    <w:r>
                      <w:rPr>
                        <w:rFonts w:ascii="Arial" w:hAnsi="Arial"/>
                        <w:color w:val="231F20"/>
                        <w:sz w:val="14"/>
                      </w:rPr>
                      <w:t>reside</w:t>
                    </w:r>
                    <w:r>
                      <w:rPr>
                        <w:rFonts w:ascii="Arial" w:hAnsi="Arial"/>
                        <w:color w:val="231F20"/>
                        <w:spacing w:val="-11"/>
                        <w:sz w:val="14"/>
                      </w:rPr>
                      <w:t> </w:t>
                    </w:r>
                    <w:r>
                      <w:rPr>
                        <w:rFonts w:ascii="Arial" w:hAnsi="Arial"/>
                        <w:color w:val="231F20"/>
                        <w:sz w:val="14"/>
                      </w:rPr>
                      <w:t>apparently</w:t>
                    </w:r>
                    <w:r>
                      <w:rPr>
                        <w:rFonts w:ascii="Arial" w:hAnsi="Arial"/>
                        <w:color w:val="231F20"/>
                        <w:spacing w:val="-12"/>
                        <w:sz w:val="14"/>
                      </w:rPr>
                      <w:t> </w:t>
                    </w:r>
                    <w:r>
                      <w:rPr>
                        <w:rFonts w:ascii="Arial" w:hAnsi="Arial"/>
                        <w:color w:val="231F20"/>
                        <w:sz w:val="14"/>
                      </w:rPr>
                      <w:t>close</w:t>
                    </w:r>
                    <w:r>
                      <w:rPr>
                        <w:rFonts w:ascii="Arial" w:hAnsi="Arial"/>
                        <w:color w:val="231F20"/>
                        <w:spacing w:val="-12"/>
                        <w:sz w:val="14"/>
                      </w:rPr>
                      <w:t> </w:t>
                    </w:r>
                    <w:r>
                      <w:rPr>
                        <w:rFonts w:ascii="Arial" w:hAnsi="Arial"/>
                        <w:color w:val="231F20"/>
                        <w:sz w:val="14"/>
                      </w:rPr>
                      <w:t>to</w:t>
                    </w:r>
                    <w:r>
                      <w:rPr>
                        <w:rFonts w:ascii="Arial" w:hAnsi="Arial"/>
                        <w:color w:val="231F20"/>
                        <w:spacing w:val="-12"/>
                        <w:sz w:val="14"/>
                      </w:rPr>
                      <w:t> </w:t>
                    </w:r>
                    <w:r>
                      <w:rPr>
                        <w:rFonts w:ascii="Arial" w:hAnsi="Arial"/>
                        <w:color w:val="231F20"/>
                        <w:sz w:val="14"/>
                      </w:rPr>
                      <w:t>each</w:t>
                    </w:r>
                    <w:r>
                      <w:rPr>
                        <w:rFonts w:ascii="Arial" w:hAnsi="Arial"/>
                        <w:color w:val="231F20"/>
                        <w:spacing w:val="-12"/>
                        <w:sz w:val="14"/>
                      </w:rPr>
                      <w:t> </w:t>
                    </w:r>
                    <w:r>
                      <w:rPr>
                        <w:rFonts w:ascii="Arial" w:hAnsi="Arial"/>
                        <w:color w:val="231F20"/>
                        <w:sz w:val="14"/>
                      </w:rPr>
                      <w:t>other</w:t>
                    </w:r>
                    <w:r>
                      <w:rPr>
                        <w:rFonts w:ascii="Arial" w:hAnsi="Arial"/>
                        <w:color w:val="231F20"/>
                        <w:spacing w:val="-12"/>
                        <w:sz w:val="14"/>
                      </w:rPr>
                      <w:t> </w:t>
                    </w:r>
                    <w:r>
                      <w:rPr>
                        <w:rFonts w:ascii="Arial" w:hAnsi="Arial"/>
                        <w:color w:val="231F20"/>
                        <w:sz w:val="14"/>
                      </w:rPr>
                      <w:t>indicating</w:t>
                    </w:r>
                    <w:r>
                      <w:rPr>
                        <w:rFonts w:ascii="Arial" w:hAnsi="Arial"/>
                        <w:color w:val="231F20"/>
                        <w:spacing w:val="-11"/>
                        <w:sz w:val="14"/>
                      </w:rPr>
                      <w:t> </w:t>
                    </w:r>
                    <w:r>
                      <w:rPr>
                        <w:rFonts w:ascii="Arial" w:hAnsi="Arial"/>
                        <w:color w:val="231F20"/>
                        <w:sz w:val="14"/>
                      </w:rPr>
                      <w:t>their</w:t>
                    </w:r>
                    <w:r>
                      <w:rPr>
                        <w:rFonts w:ascii="Arial" w:hAnsi="Arial"/>
                        <w:color w:val="231F20"/>
                        <w:spacing w:val="-12"/>
                        <w:sz w:val="14"/>
                      </w:rPr>
                      <w:t> </w:t>
                    </w:r>
                    <w:r>
                      <w:rPr>
                        <w:rFonts w:ascii="Arial" w:hAnsi="Arial"/>
                        <w:color w:val="231F20"/>
                        <w:sz w:val="14"/>
                      </w:rPr>
                      <w:t>joint</w:t>
                    </w:r>
                    <w:r>
                      <w:rPr>
                        <w:rFonts w:ascii="Arial" w:hAnsi="Arial"/>
                        <w:color w:val="231F20"/>
                        <w:spacing w:val="-12"/>
                        <w:sz w:val="14"/>
                      </w:rPr>
                      <w:t> </w:t>
                    </w:r>
                    <w:r>
                      <w:rPr>
                        <w:rFonts w:ascii="Arial" w:hAnsi="Arial"/>
                        <w:color w:val="231F20"/>
                        <w:sz w:val="14"/>
                      </w:rPr>
                      <w:t>proliferation</w:t>
                    </w:r>
                    <w:r>
                      <w:rPr>
                        <w:rFonts w:ascii="Arial" w:hAnsi="Arial"/>
                        <w:color w:val="231F20"/>
                        <w:spacing w:val="-12"/>
                        <w:sz w:val="14"/>
                      </w:rPr>
                      <w:t> </w:t>
                    </w:r>
                    <w:r>
                      <w:rPr>
                        <w:rFonts w:ascii="Arial" w:hAnsi="Arial"/>
                        <w:color w:val="231F20"/>
                        <w:sz w:val="14"/>
                      </w:rPr>
                      <w:t>in</w:t>
                    </w:r>
                    <w:r>
                      <w:rPr>
                        <w:rFonts w:ascii="Arial" w:hAnsi="Arial"/>
                        <w:color w:val="231F20"/>
                        <w:spacing w:val="-12"/>
                        <w:sz w:val="14"/>
                      </w:rPr>
                      <w:t> </w:t>
                    </w:r>
                    <w:r>
                      <w:rPr>
                        <w:rFonts w:ascii="Arial" w:hAnsi="Arial"/>
                        <w:color w:val="231F20"/>
                        <w:sz w:val="14"/>
                      </w:rPr>
                      <w:t>the</w:t>
                    </w:r>
                    <w:r>
                      <w:rPr>
                        <w:rFonts w:ascii="Arial" w:hAnsi="Arial"/>
                        <w:color w:val="231F20"/>
                        <w:spacing w:val="-12"/>
                        <w:sz w:val="14"/>
                      </w:rPr>
                      <w:t> </w:t>
                    </w:r>
                    <w:r>
                      <w:rPr>
                        <w:rFonts w:ascii="Arial" w:hAnsi="Arial"/>
                        <w:color w:val="231F20"/>
                        <w:spacing w:val="-4"/>
                        <w:sz w:val="14"/>
                      </w:rPr>
                      <w:t>ear.</w:t>
                    </w:r>
                    <w:r>
                      <w:rPr>
                        <w:rFonts w:ascii="Arial" w:hAnsi="Arial"/>
                        <w:color w:val="231F20"/>
                        <w:spacing w:val="-12"/>
                        <w:sz w:val="14"/>
                      </w:rPr>
                      <w:t> </w:t>
                    </w:r>
                    <w:r>
                      <w:rPr>
                        <w:rFonts w:ascii="Arial" w:hAnsi="Arial"/>
                        <w:color w:val="231F20"/>
                        <w:sz w:val="14"/>
                      </w:rPr>
                      <w:t>(D)</w:t>
                    </w:r>
                    <w:r>
                      <w:rPr>
                        <w:rFonts w:ascii="Arial" w:hAnsi="Arial"/>
                        <w:color w:val="231F20"/>
                        <w:spacing w:val="-12"/>
                        <w:sz w:val="14"/>
                      </w:rPr>
                      <w:t> </w:t>
                    </w:r>
                    <w:r>
                      <w:rPr>
                        <w:rFonts w:ascii="Arial" w:hAnsi="Arial"/>
                        <w:color w:val="231F20"/>
                        <w:sz w:val="14"/>
                      </w:rPr>
                      <w:t>In order</w:t>
                    </w:r>
                    <w:r>
                      <w:rPr>
                        <w:rFonts w:ascii="Arial" w:hAnsi="Arial"/>
                        <w:color w:val="231F20"/>
                        <w:spacing w:val="-16"/>
                        <w:sz w:val="14"/>
                      </w:rPr>
                      <w:t> </w:t>
                    </w:r>
                    <w:r>
                      <w:rPr>
                        <w:rFonts w:ascii="Arial" w:hAnsi="Arial"/>
                        <w:color w:val="231F20"/>
                        <w:sz w:val="14"/>
                      </w:rPr>
                      <w:t>to</w:t>
                    </w:r>
                    <w:r>
                      <w:rPr>
                        <w:rFonts w:ascii="Arial" w:hAnsi="Arial"/>
                        <w:color w:val="231F20"/>
                        <w:spacing w:val="-15"/>
                        <w:sz w:val="14"/>
                      </w:rPr>
                      <w:t> </w:t>
                    </w:r>
                    <w:r>
                      <w:rPr>
                        <w:rFonts w:ascii="Arial" w:hAnsi="Arial"/>
                        <w:color w:val="231F20"/>
                        <w:sz w:val="14"/>
                      </w:rPr>
                      <w:t>find</w:t>
                    </w:r>
                    <w:r>
                      <w:rPr>
                        <w:rFonts w:ascii="Arial" w:hAnsi="Arial"/>
                        <w:color w:val="231F20"/>
                        <w:spacing w:val="-15"/>
                        <w:sz w:val="14"/>
                      </w:rPr>
                      <w:t> </w:t>
                    </w:r>
                    <w:r>
                      <w:rPr>
                        <w:rFonts w:ascii="Arial" w:hAnsi="Arial"/>
                        <w:color w:val="231F20"/>
                        <w:sz w:val="14"/>
                      </w:rPr>
                      <w:t>local</w:t>
                    </w:r>
                    <w:r>
                      <w:rPr>
                        <w:rFonts w:ascii="Arial" w:hAnsi="Arial"/>
                        <w:color w:val="231F20"/>
                        <w:spacing w:val="-15"/>
                        <w:sz w:val="14"/>
                      </w:rPr>
                      <w:t> </w:t>
                    </w:r>
                    <w:r>
                      <w:rPr>
                        <w:rFonts w:ascii="Arial" w:hAnsi="Arial"/>
                        <w:color w:val="231F20"/>
                        <w:sz w:val="14"/>
                      </w:rPr>
                      <w:t>auricular</w:t>
                    </w:r>
                    <w:r>
                      <w:rPr>
                        <w:rFonts w:ascii="Arial" w:hAnsi="Arial"/>
                        <w:color w:val="231F20"/>
                        <w:spacing w:val="-15"/>
                        <w:sz w:val="14"/>
                      </w:rPr>
                      <w:t> </w:t>
                    </w:r>
                    <w:r>
                      <w:rPr>
                        <w:rFonts w:ascii="Arial" w:hAnsi="Arial"/>
                        <w:color w:val="231F20"/>
                        <w:sz w:val="14"/>
                      </w:rPr>
                      <w:t>nerve</w:t>
                    </w:r>
                    <w:r>
                      <w:rPr>
                        <w:rFonts w:ascii="Arial" w:hAnsi="Arial"/>
                        <w:color w:val="231F20"/>
                        <w:spacing w:val="-15"/>
                        <w:sz w:val="14"/>
                      </w:rPr>
                      <w:t> </w:t>
                    </w:r>
                    <w:r>
                      <w:rPr>
                        <w:rFonts w:ascii="Arial" w:hAnsi="Arial"/>
                        <w:color w:val="231F20"/>
                        <w:sz w:val="14"/>
                      </w:rPr>
                      <w:t>branches,</w:t>
                    </w:r>
                    <w:r>
                      <w:rPr>
                        <w:rFonts w:ascii="Arial" w:hAnsi="Arial"/>
                        <w:color w:val="231F20"/>
                        <w:spacing w:val="-15"/>
                        <w:sz w:val="14"/>
                      </w:rPr>
                      <w:t> </w:t>
                    </w:r>
                    <w:r>
                      <w:rPr>
                        <w:rFonts w:ascii="Arial" w:hAnsi="Arial"/>
                        <w:color w:val="231F20"/>
                        <w:sz w:val="14"/>
                      </w:rPr>
                      <w:t>the</w:t>
                    </w:r>
                    <w:r>
                      <w:rPr>
                        <w:rFonts w:ascii="Arial" w:hAnsi="Arial"/>
                        <w:color w:val="231F20"/>
                        <w:spacing w:val="-15"/>
                        <w:sz w:val="14"/>
                      </w:rPr>
                      <w:t> </w:t>
                    </w:r>
                    <w:r>
                      <w:rPr>
                        <w:rFonts w:ascii="Arial" w:hAnsi="Arial"/>
                        <w:color w:val="231F20"/>
                        <w:sz w:val="14"/>
                      </w:rPr>
                      <w:t>outer</w:t>
                    </w:r>
                    <w:r>
                      <w:rPr>
                        <w:rFonts w:ascii="Arial" w:hAnsi="Arial"/>
                        <w:color w:val="231F20"/>
                        <w:spacing w:val="-15"/>
                        <w:sz w:val="14"/>
                      </w:rPr>
                      <w:t> </w:t>
                    </w:r>
                    <w:r>
                      <w:rPr>
                        <w:rFonts w:ascii="Arial" w:hAnsi="Arial"/>
                        <w:color w:val="231F20"/>
                        <w:sz w:val="14"/>
                      </w:rPr>
                      <w:t>ear</w:t>
                    </w:r>
                    <w:r>
                      <w:rPr>
                        <w:rFonts w:ascii="Arial" w:hAnsi="Arial"/>
                        <w:color w:val="231F20"/>
                        <w:spacing w:val="-15"/>
                        <w:sz w:val="14"/>
                      </w:rPr>
                      <w:t> </w:t>
                    </w:r>
                    <w:r>
                      <w:rPr>
                        <w:rFonts w:ascii="Arial" w:hAnsi="Arial"/>
                        <w:color w:val="231F20"/>
                        <w:sz w:val="14"/>
                      </w:rPr>
                      <w:t>is</w:t>
                    </w:r>
                    <w:r>
                      <w:rPr>
                        <w:rFonts w:ascii="Arial" w:hAnsi="Arial"/>
                        <w:color w:val="231F20"/>
                        <w:spacing w:val="-15"/>
                        <w:sz w:val="14"/>
                      </w:rPr>
                      <w:t> </w:t>
                    </w:r>
                    <w:r>
                      <w:rPr>
                        <w:rFonts w:ascii="Arial" w:hAnsi="Arial"/>
                        <w:color w:val="231F20"/>
                        <w:sz w:val="14"/>
                      </w:rPr>
                      <w:t>transilluminated</w:t>
                    </w:r>
                    <w:r>
                      <w:rPr>
                        <w:rFonts w:ascii="Arial" w:hAnsi="Arial"/>
                        <w:color w:val="231F20"/>
                        <w:spacing w:val="-15"/>
                        <w:sz w:val="14"/>
                      </w:rPr>
                      <w:t> </w:t>
                    </w:r>
                    <w:r>
                      <w:rPr>
                        <w:rFonts w:ascii="Arial" w:hAnsi="Arial"/>
                        <w:color w:val="231F20"/>
                        <w:sz w:val="14"/>
                      </w:rPr>
                      <w:t>to</w:t>
                    </w:r>
                    <w:r>
                      <w:rPr>
                        <w:rFonts w:ascii="Arial" w:hAnsi="Arial"/>
                        <w:color w:val="231F20"/>
                        <w:spacing w:val="-15"/>
                        <w:sz w:val="14"/>
                      </w:rPr>
                      <w:t> </w:t>
                    </w:r>
                    <w:r>
                      <w:rPr>
                        <w:rFonts w:ascii="Arial" w:hAnsi="Arial"/>
                        <w:color w:val="231F20"/>
                        <w:sz w:val="14"/>
                      </w:rPr>
                      <w:t>localize</w:t>
                    </w:r>
                    <w:r>
                      <w:rPr>
                        <w:rFonts w:ascii="Arial" w:hAnsi="Arial"/>
                        <w:color w:val="231F20"/>
                        <w:spacing w:val="-15"/>
                        <w:sz w:val="14"/>
                      </w:rPr>
                      <w:t> </w:t>
                    </w:r>
                    <w:r>
                      <w:rPr>
                        <w:rFonts w:ascii="Arial" w:hAnsi="Arial"/>
                        <w:color w:val="231F20"/>
                        <w:sz w:val="14"/>
                      </w:rPr>
                      <w:t>and</w:t>
                    </w:r>
                    <w:r>
                      <w:rPr>
                        <w:rFonts w:ascii="Arial" w:hAnsi="Arial"/>
                        <w:color w:val="231F20"/>
                        <w:spacing w:val="-15"/>
                        <w:sz w:val="14"/>
                      </w:rPr>
                      <w:t> </w:t>
                    </w:r>
                    <w:r>
                      <w:rPr>
                        <w:rFonts w:ascii="Arial" w:hAnsi="Arial"/>
                        <w:color w:val="231F20"/>
                        <w:sz w:val="14"/>
                      </w:rPr>
                      <w:t>visualize</w:t>
                    </w:r>
                    <w:r>
                      <w:rPr>
                        <w:rFonts w:ascii="Arial" w:hAnsi="Arial"/>
                        <w:color w:val="231F20"/>
                        <w:spacing w:val="-15"/>
                        <w:sz w:val="14"/>
                      </w:rPr>
                      <w:t> </w:t>
                    </w:r>
                    <w:r>
                      <w:rPr>
                        <w:rFonts w:ascii="Arial" w:hAnsi="Arial"/>
                        <w:color w:val="231F20"/>
                        <w:sz w:val="14"/>
                      </w:rPr>
                      <w:t>easily</w:t>
                    </w:r>
                    <w:r>
                      <w:rPr>
                        <w:rFonts w:ascii="Arial" w:hAnsi="Arial"/>
                        <w:color w:val="231F20"/>
                        <w:spacing w:val="-15"/>
                        <w:sz w:val="14"/>
                      </w:rPr>
                      <w:t> </w:t>
                    </w:r>
                    <w:r>
                      <w:rPr>
                        <w:rFonts w:ascii="Arial" w:hAnsi="Arial"/>
                        <w:color w:val="231F20"/>
                        <w:sz w:val="14"/>
                      </w:rPr>
                      <w:t>discernable</w:t>
                    </w:r>
                    <w:r>
                      <w:rPr>
                        <w:rFonts w:ascii="Arial" w:hAnsi="Arial"/>
                        <w:color w:val="231F20"/>
                        <w:spacing w:val="-15"/>
                        <w:sz w:val="14"/>
                      </w:rPr>
                      <w:t> </w:t>
                    </w:r>
                    <w:r>
                      <w:rPr>
                        <w:rFonts w:ascii="Arial" w:hAnsi="Arial"/>
                        <w:color w:val="231F20"/>
                        <w:sz w:val="14"/>
                      </w:rPr>
                      <w:t>auricular</w:t>
                    </w:r>
                    <w:r>
                      <w:rPr>
                        <w:rFonts w:ascii="Arial" w:hAnsi="Arial"/>
                        <w:color w:val="231F20"/>
                        <w:spacing w:val="-15"/>
                        <w:sz w:val="14"/>
                      </w:rPr>
                      <w:t> </w:t>
                    </w:r>
                    <w:r>
                      <w:rPr>
                        <w:rFonts w:ascii="Arial" w:hAnsi="Arial"/>
                        <w:color w:val="231F20"/>
                        <w:sz w:val="14"/>
                      </w:rPr>
                      <w:t>vessels</w:t>
                    </w:r>
                    <w:r>
                      <w:rPr>
                        <w:rFonts w:ascii="Arial" w:hAnsi="Arial"/>
                        <w:color w:val="231F20"/>
                        <w:spacing w:val="-16"/>
                        <w:sz w:val="14"/>
                      </w:rPr>
                      <w:t> </w:t>
                    </w:r>
                    <w:r>
                      <w:rPr>
                        <w:rFonts w:ascii="Arial" w:hAnsi="Arial"/>
                        <w:color w:val="231F20"/>
                        <w:sz w:val="14"/>
                      </w:rPr>
                      <w:t>which</w:t>
                    </w:r>
                    <w:r>
                      <w:rPr>
                        <w:rFonts w:ascii="Arial" w:hAnsi="Arial"/>
                        <w:color w:val="231F20"/>
                        <w:spacing w:val="-15"/>
                        <w:sz w:val="14"/>
                      </w:rPr>
                      <w:t> </w:t>
                    </w:r>
                    <w:r>
                      <w:rPr>
                        <w:rFonts w:ascii="Arial" w:hAnsi="Arial"/>
                        <w:color w:val="231F20"/>
                        <w:sz w:val="14"/>
                      </w:rPr>
                      <w:t>are</w:t>
                    </w:r>
                    <w:r>
                      <w:rPr>
                        <w:rFonts w:ascii="Arial" w:hAnsi="Arial"/>
                        <w:color w:val="231F20"/>
                        <w:spacing w:val="-15"/>
                        <w:sz w:val="14"/>
                      </w:rPr>
                      <w:t> </w:t>
                    </w:r>
                    <w:r>
                      <w:rPr>
                        <w:rFonts w:ascii="Arial" w:hAnsi="Arial"/>
                        <w:color w:val="231F20"/>
                        <w:sz w:val="14"/>
                      </w:rPr>
                      <w:t>less</w:t>
                    </w:r>
                    <w:r>
                      <w:rPr>
                        <w:rFonts w:ascii="Arial" w:hAnsi="Arial"/>
                        <w:color w:val="231F20"/>
                        <w:spacing w:val="-15"/>
                        <w:sz w:val="14"/>
                      </w:rPr>
                      <w:t> </w:t>
                    </w:r>
                    <w:r>
                      <w:rPr>
                        <w:rFonts w:ascii="Arial" w:hAnsi="Arial"/>
                        <w:color w:val="231F20"/>
                        <w:sz w:val="14"/>
                      </w:rPr>
                      <w:t>transparent than</w:t>
                    </w:r>
                    <w:r>
                      <w:rPr>
                        <w:rFonts w:ascii="Arial" w:hAnsi="Arial"/>
                        <w:color w:val="231F20"/>
                        <w:spacing w:val="-15"/>
                        <w:sz w:val="14"/>
                      </w:rPr>
                      <w:t> </w:t>
                    </w:r>
                    <w:r>
                      <w:rPr>
                        <w:rFonts w:ascii="Arial" w:hAnsi="Arial"/>
                        <w:color w:val="231F20"/>
                        <w:sz w:val="14"/>
                      </w:rPr>
                      <w:t>the</w:t>
                    </w:r>
                    <w:r>
                      <w:rPr>
                        <w:rFonts w:ascii="Arial" w:hAnsi="Arial"/>
                        <w:color w:val="231F20"/>
                        <w:spacing w:val="-14"/>
                        <w:sz w:val="14"/>
                      </w:rPr>
                      <w:t> </w:t>
                    </w:r>
                    <w:r>
                      <w:rPr>
                        <w:rFonts w:ascii="Arial" w:hAnsi="Arial"/>
                        <w:color w:val="231F20"/>
                        <w:sz w:val="14"/>
                      </w:rPr>
                      <w:t>surrounding</w:t>
                    </w:r>
                    <w:r>
                      <w:rPr>
                        <w:rFonts w:ascii="Arial" w:hAnsi="Arial"/>
                        <w:color w:val="231F20"/>
                        <w:spacing w:val="-14"/>
                        <w:sz w:val="14"/>
                      </w:rPr>
                      <w:t> </w:t>
                    </w:r>
                    <w:r>
                      <w:rPr>
                        <w:rFonts w:ascii="Arial" w:hAnsi="Arial"/>
                        <w:color w:val="231F20"/>
                        <w:sz w:val="14"/>
                      </w:rPr>
                      <w:t>tissue</w:t>
                    </w:r>
                    <w:r>
                      <w:rPr>
                        <w:rFonts w:ascii="Arial" w:hAnsi="Arial"/>
                        <w:color w:val="231F20"/>
                        <w:spacing w:val="-14"/>
                        <w:sz w:val="14"/>
                      </w:rPr>
                      <w:t> </w:t>
                    </w:r>
                    <w:r>
                      <w:rPr>
                        <w:rFonts w:ascii="Arial" w:hAnsi="Arial"/>
                        <w:color w:val="231F20"/>
                        <w:sz w:val="14"/>
                      </w:rPr>
                      <w:t>for</w:t>
                    </w:r>
                    <w:r>
                      <w:rPr>
                        <w:rFonts w:ascii="Arial" w:hAnsi="Arial"/>
                        <w:color w:val="231F20"/>
                        <w:spacing w:val="-14"/>
                        <w:sz w:val="14"/>
                      </w:rPr>
                      <w:t> </w:t>
                    </w:r>
                    <w:r>
                      <w:rPr>
                        <w:rFonts w:ascii="Arial" w:hAnsi="Arial"/>
                        <w:color w:val="231F20"/>
                        <w:sz w:val="14"/>
                      </w:rPr>
                      <w:t>green</w:t>
                    </w:r>
                    <w:r>
                      <w:rPr>
                        <w:rFonts w:ascii="Arial" w:hAnsi="Arial"/>
                        <w:color w:val="231F20"/>
                        <w:spacing w:val="-14"/>
                        <w:sz w:val="14"/>
                      </w:rPr>
                      <w:t> </w:t>
                    </w:r>
                    <w:r>
                      <w:rPr>
                        <w:rFonts w:ascii="Arial" w:hAnsi="Arial"/>
                        <w:color w:val="231F20"/>
                        <w:sz w:val="14"/>
                      </w:rPr>
                      <w:t>light.</w:t>
                    </w:r>
                    <w:r>
                      <w:rPr>
                        <w:rFonts w:ascii="Arial" w:hAnsi="Arial"/>
                        <w:color w:val="231F20"/>
                        <w:spacing w:val="-14"/>
                        <w:sz w:val="14"/>
                      </w:rPr>
                      <w:t> </w:t>
                    </w:r>
                    <w:r>
                      <w:rPr>
                        <w:rFonts w:ascii="Arial" w:hAnsi="Arial"/>
                        <w:color w:val="231F20"/>
                        <w:sz w:val="14"/>
                      </w:rPr>
                      <w:t>The</w:t>
                    </w:r>
                    <w:r>
                      <w:rPr>
                        <w:rFonts w:ascii="Arial" w:hAnsi="Arial"/>
                        <w:color w:val="231F20"/>
                        <w:spacing w:val="-14"/>
                        <w:sz w:val="14"/>
                      </w:rPr>
                      <w:t> </w:t>
                    </w:r>
                    <w:r>
                      <w:rPr>
                        <w:rFonts w:ascii="Arial" w:hAnsi="Arial"/>
                        <w:color w:val="231F20"/>
                        <w:sz w:val="14"/>
                      </w:rPr>
                      <w:t>visualized</w:t>
                    </w:r>
                    <w:r>
                      <w:rPr>
                        <w:rFonts w:ascii="Arial" w:hAnsi="Arial"/>
                        <w:color w:val="231F20"/>
                        <w:spacing w:val="-14"/>
                        <w:sz w:val="14"/>
                      </w:rPr>
                      <w:t> </w:t>
                    </w:r>
                    <w:r>
                      <w:rPr>
                        <w:rFonts w:ascii="Arial" w:hAnsi="Arial"/>
                        <w:color w:val="231F20"/>
                        <w:sz w:val="14"/>
                      </w:rPr>
                      <w:t>locations</w:t>
                    </w:r>
                    <w:r>
                      <w:rPr>
                        <w:rFonts w:ascii="Arial" w:hAnsi="Arial"/>
                        <w:color w:val="231F20"/>
                        <w:spacing w:val="-14"/>
                        <w:sz w:val="14"/>
                      </w:rPr>
                      <w:t> </w:t>
                    </w:r>
                    <w:r>
                      <w:rPr>
                        <w:rFonts w:ascii="Arial" w:hAnsi="Arial"/>
                        <w:color w:val="231F20"/>
                        <w:sz w:val="14"/>
                      </w:rPr>
                      <w:t>of</w:t>
                    </w:r>
                    <w:r>
                      <w:rPr>
                        <w:rFonts w:ascii="Arial" w:hAnsi="Arial"/>
                        <w:color w:val="231F20"/>
                        <w:spacing w:val="-15"/>
                        <w:sz w:val="14"/>
                      </w:rPr>
                      <w:t> </w:t>
                    </w:r>
                    <w:r>
                      <w:rPr>
                        <w:rFonts w:ascii="Arial" w:hAnsi="Arial"/>
                        <w:color w:val="231F20"/>
                        <w:sz w:val="14"/>
                      </w:rPr>
                      <w:t>vessels</w:t>
                    </w:r>
                    <w:r>
                      <w:rPr>
                        <w:rFonts w:ascii="Arial" w:hAnsi="Arial"/>
                        <w:color w:val="231F20"/>
                        <w:spacing w:val="-14"/>
                        <w:sz w:val="14"/>
                      </w:rPr>
                      <w:t> </w:t>
                    </w:r>
                    <w:r>
                      <w:rPr>
                        <w:rFonts w:ascii="Arial" w:hAnsi="Arial"/>
                        <w:color w:val="231F20"/>
                        <w:sz w:val="14"/>
                      </w:rPr>
                      <w:t>indicate</w:t>
                    </w:r>
                    <w:r>
                      <w:rPr>
                        <w:rFonts w:ascii="Arial" w:hAnsi="Arial"/>
                        <w:color w:val="231F20"/>
                        <w:spacing w:val="-14"/>
                        <w:sz w:val="14"/>
                      </w:rPr>
                      <w:t> </w:t>
                    </w:r>
                    <w:r>
                      <w:rPr>
                        <w:rFonts w:ascii="Arial" w:hAnsi="Arial"/>
                        <w:color w:val="231F20"/>
                        <w:sz w:val="14"/>
                      </w:rPr>
                      <w:t>the</w:t>
                    </w:r>
                    <w:r>
                      <w:rPr>
                        <w:rFonts w:ascii="Arial" w:hAnsi="Arial"/>
                        <w:color w:val="231F20"/>
                        <w:spacing w:val="-14"/>
                        <w:sz w:val="14"/>
                      </w:rPr>
                      <w:t> </w:t>
                    </w:r>
                    <w:r>
                      <w:rPr>
                        <w:rFonts w:ascii="Arial" w:hAnsi="Arial"/>
                        <w:color w:val="231F20"/>
                        <w:sz w:val="14"/>
                      </w:rPr>
                      <w:t>most</w:t>
                    </w:r>
                    <w:r>
                      <w:rPr>
                        <w:rFonts w:ascii="Arial" w:hAnsi="Arial"/>
                        <w:color w:val="231F20"/>
                        <w:spacing w:val="-14"/>
                        <w:sz w:val="14"/>
                      </w:rPr>
                      <w:t> </w:t>
                    </w:r>
                    <w:r>
                      <w:rPr>
                        <w:rFonts w:ascii="Arial" w:hAnsi="Arial"/>
                        <w:color w:val="231F20"/>
                        <w:sz w:val="14"/>
                      </w:rPr>
                      <w:t>likely</w:t>
                    </w:r>
                    <w:r>
                      <w:rPr>
                        <w:rFonts w:ascii="Arial" w:hAnsi="Arial"/>
                        <w:color w:val="231F20"/>
                        <w:spacing w:val="-14"/>
                        <w:sz w:val="14"/>
                      </w:rPr>
                      <w:t> </w:t>
                    </w:r>
                    <w:r>
                      <w:rPr>
                        <w:rFonts w:ascii="Arial" w:hAnsi="Arial"/>
                        <w:color w:val="231F20"/>
                        <w:sz w:val="14"/>
                      </w:rPr>
                      <w:t>regions</w:t>
                    </w:r>
                    <w:r>
                      <w:rPr>
                        <w:rFonts w:ascii="Arial" w:hAnsi="Arial"/>
                        <w:color w:val="231F20"/>
                        <w:spacing w:val="-14"/>
                        <w:sz w:val="14"/>
                      </w:rPr>
                      <w:t> </w:t>
                    </w:r>
                    <w:r>
                      <w:rPr>
                        <w:rFonts w:ascii="Arial" w:hAnsi="Arial"/>
                        <w:color w:val="231F20"/>
                        <w:sz w:val="14"/>
                      </w:rPr>
                      <w:t>of</w:t>
                    </w:r>
                    <w:r>
                      <w:rPr>
                        <w:rFonts w:ascii="Arial" w:hAnsi="Arial"/>
                        <w:color w:val="231F20"/>
                        <w:spacing w:val="-14"/>
                        <w:sz w:val="14"/>
                      </w:rPr>
                      <w:t> </w:t>
                    </w:r>
                    <w:r>
                      <w:rPr>
                        <w:rFonts w:ascii="Arial" w:hAnsi="Arial"/>
                        <w:color w:val="231F20"/>
                        <w:sz w:val="14"/>
                      </w:rPr>
                      <w:t>nerves,</w:t>
                    </w:r>
                    <w:r>
                      <w:rPr>
                        <w:rFonts w:ascii="Arial" w:hAnsi="Arial"/>
                        <w:color w:val="231F20"/>
                        <w:spacing w:val="-14"/>
                        <w:sz w:val="14"/>
                      </w:rPr>
                      <w:t> </w:t>
                    </w:r>
                    <w:r>
                      <w:rPr>
                        <w:rFonts w:ascii="Arial" w:hAnsi="Arial"/>
                        <w:color w:val="231F20"/>
                        <w:sz w:val="14"/>
                      </w:rPr>
                      <w:t>which</w:t>
                    </w:r>
                    <w:r>
                      <w:rPr>
                        <w:rFonts w:ascii="Arial" w:hAnsi="Arial"/>
                        <w:color w:val="231F20"/>
                        <w:spacing w:val="-14"/>
                        <w:sz w:val="14"/>
                      </w:rPr>
                      <w:t> </w:t>
                    </w:r>
                    <w:r>
                      <w:rPr>
                        <w:rFonts w:ascii="Arial" w:hAnsi="Arial"/>
                        <w:color w:val="231F20"/>
                        <w:sz w:val="14"/>
                      </w:rPr>
                      <w:t>serve</w:t>
                    </w:r>
                    <w:r>
                      <w:rPr>
                        <w:rFonts w:ascii="Arial" w:hAnsi="Arial"/>
                        <w:color w:val="231F20"/>
                        <w:spacing w:val="-15"/>
                        <w:sz w:val="14"/>
                      </w:rPr>
                      <w:t> </w:t>
                    </w:r>
                    <w:r>
                      <w:rPr>
                        <w:rFonts w:ascii="Arial" w:hAnsi="Arial"/>
                        <w:color w:val="231F20"/>
                        <w:sz w:val="14"/>
                      </w:rPr>
                      <w:t>for</w:t>
                    </w:r>
                    <w:r>
                      <w:rPr>
                        <w:rFonts w:ascii="Arial" w:hAnsi="Arial"/>
                        <w:color w:val="231F20"/>
                        <w:spacing w:val="-14"/>
                        <w:sz w:val="14"/>
                      </w:rPr>
                      <w:t> </w:t>
                    </w:r>
                    <w:r>
                      <w:rPr>
                        <w:rFonts w:ascii="Arial" w:hAnsi="Arial"/>
                        <w:color w:val="231F20"/>
                        <w:sz w:val="14"/>
                      </w:rPr>
                      <w:t>a</w:t>
                    </w:r>
                    <w:r>
                      <w:rPr>
                        <w:rFonts w:ascii="Arial" w:hAnsi="Arial"/>
                        <w:color w:val="231F20"/>
                        <w:spacing w:val="-14"/>
                        <w:sz w:val="14"/>
                      </w:rPr>
                      <w:t> </w:t>
                    </w:r>
                    <w:r>
                      <w:rPr>
                        <w:rFonts w:ascii="Arial" w:hAnsi="Arial"/>
                        <w:color w:val="231F20"/>
                        <w:sz w:val="14"/>
                      </w:rPr>
                      <w:t>personalized</w:t>
                    </w:r>
                    <w:r>
                      <w:rPr>
                        <w:rFonts w:ascii="Arial" w:hAnsi="Arial"/>
                        <w:color w:val="231F20"/>
                        <w:spacing w:val="-14"/>
                        <w:sz w:val="14"/>
                      </w:rPr>
                      <w:t> </w:t>
                    </w:r>
                    <w:r>
                      <w:rPr>
                        <w:rFonts w:ascii="Arial" w:hAnsi="Arial"/>
                        <w:color w:val="231F20"/>
                        <w:sz w:val="14"/>
                      </w:rPr>
                      <w:t>placement</w:t>
                    </w:r>
                    <w:r>
                      <w:rPr>
                        <w:rFonts w:ascii="Arial" w:hAnsi="Arial"/>
                        <w:color w:val="231F20"/>
                        <w:spacing w:val="-14"/>
                        <w:sz w:val="14"/>
                      </w:rPr>
                      <w:t> </w:t>
                    </w:r>
                    <w:r>
                      <w:rPr>
                        <w:rFonts w:ascii="Arial" w:hAnsi="Arial"/>
                        <w:color w:val="231F20"/>
                        <w:sz w:val="14"/>
                      </w:rPr>
                      <w:t>of stimulation</w:t>
                    </w:r>
                    <w:r>
                      <w:rPr>
                        <w:rFonts w:ascii="Arial" w:hAnsi="Arial"/>
                        <w:color w:val="231F20"/>
                        <w:spacing w:val="-1"/>
                        <w:sz w:val="14"/>
                      </w:rPr>
                      <w:t> </w:t>
                    </w:r>
                    <w:r>
                      <w:rPr>
                        <w:rFonts w:ascii="Arial" w:hAnsi="Arial"/>
                        <w:color w:val="231F20"/>
                        <w:sz w:val="14"/>
                      </w:rPr>
                      <w:t>needles.</w:t>
                    </w:r>
                  </w:p>
                </w:txbxContent>
              </v:textbox>
              <v:stroke dashstyle="solid"/>
              <w10:wrap type="none"/>
            </v:shape>
          </v:group>
        </w:pict>
      </w:r>
      <w:r>
        <w:rPr>
          <w:sz w:val="20"/>
        </w:rPr>
      </w:r>
    </w:p>
    <w:p>
      <w:pPr>
        <w:pStyle w:val="BodyText"/>
        <w:spacing w:before="5"/>
        <w:ind w:left="0"/>
        <w:rPr>
          <w:sz w:val="18"/>
        </w:rPr>
      </w:pPr>
    </w:p>
    <w:p>
      <w:pPr>
        <w:spacing w:after="0"/>
        <w:rPr>
          <w:sz w:val="18"/>
        </w:rPr>
        <w:sectPr>
          <w:pgSz w:w="11910" w:h="15600"/>
          <w:pgMar w:header="560" w:footer="588" w:top="840" w:bottom="780" w:left="740" w:right="740"/>
        </w:sectPr>
      </w:pPr>
    </w:p>
    <w:p>
      <w:pPr>
        <w:pStyle w:val="BodyText"/>
        <w:spacing w:line="213" w:lineRule="auto" w:before="87"/>
      </w:pPr>
      <w:r>
        <w:rPr>
          <w:color w:val="231F20"/>
        </w:rPr>
        <w:t>A</w:t>
      </w:r>
      <w:r>
        <w:rPr>
          <w:rFonts w:ascii="Arial Black" w:hAnsi="Arial Black"/>
          <w:color w:val="231F20"/>
        </w:rPr>
        <w:t>δ </w:t>
      </w:r>
      <w:r>
        <w:rPr>
          <w:color w:val="231F20"/>
        </w:rPr>
        <w:t>or non-myelinated C fibers, activating usually the sympathetic system.</w:t>
      </w:r>
    </w:p>
    <w:p>
      <w:pPr>
        <w:pStyle w:val="BodyText"/>
        <w:spacing w:line="213" w:lineRule="auto" w:before="2"/>
        <w:ind w:firstLine="229"/>
        <w:jc w:val="both"/>
      </w:pPr>
      <w:r>
        <w:rPr/>
        <w:pict>
          <v:shape style="position:absolute;margin-left:42.835003pt;margin-top:11.207974pt;width:251.05pt;height:80.9pt;mso-position-horizontal-relative:page;mso-position-vertical-relative:paragraph;z-index:-41248" coordorigin="857,224" coordsize="5021,1618" path="m5877,1491l5866,1424,5834,1370,5877,1370,5877,224,1987,224,1987,453,857,453,857,682,857,912,857,1141,857,1370,900,1370,867,1424,857,1491,867,1558,896,1606,867,1653,857,1720,867,1788,900,1842,5129,1842,5161,1788,5172,1720,5161,1653,5137,1612,5834,1612,5866,1558,5877,1491e" filled="true" fillcolor="#fde164" stroked="false">
            <v:path arrowok="t"/>
            <v:fill opacity="26214f" type="solid"/>
            <w10:wrap type="none"/>
          </v:shape>
        </w:pict>
      </w:r>
      <w:r>
        <w:rPr>
          <w:color w:val="231F20"/>
        </w:rPr>
        <w:t>Different stimulation patterns are being used in aVNS. </w:t>
      </w:r>
      <w:r>
        <w:rPr>
          <w:color w:val="231F20"/>
          <w:spacing w:val="-5"/>
        </w:rPr>
        <w:t>For </w:t>
      </w:r>
      <w:r>
        <w:rPr>
          <w:color w:val="231F20"/>
        </w:rPr>
        <w:t>instance, the percutaneous aVNS uses typically </w:t>
      </w:r>
      <w:r>
        <w:rPr>
          <w:color w:val="231F20"/>
          <w:spacing w:val="-3"/>
        </w:rPr>
        <w:t>monophasic </w:t>
      </w:r>
      <w:r>
        <w:rPr>
          <w:color w:val="231F20"/>
        </w:rPr>
        <w:t>rectangular pulses every 1 s (1 Hz stimulation) with </w:t>
      </w:r>
      <w:r>
        <w:rPr>
          <w:color w:val="231F20"/>
          <w:spacing w:val="-3"/>
        </w:rPr>
        <w:t>changing </w:t>
      </w:r>
      <w:r>
        <w:rPr>
          <w:color w:val="231F20"/>
        </w:rPr>
        <w:t>polarity and the pulse width of 1 ms, with the possibility </w:t>
      </w:r>
      <w:r>
        <w:rPr>
          <w:color w:val="231F20"/>
          <w:spacing w:val="-6"/>
        </w:rPr>
        <w:t>to </w:t>
      </w:r>
      <w:r>
        <w:rPr>
          <w:color w:val="231F20"/>
        </w:rPr>
        <w:t>change settings (</w:t>
      </w:r>
      <w:hyperlink w:history="true" w:anchor="_bookmark44">
        <w:r>
          <w:rPr>
            <w:color w:val="6D6E71"/>
          </w:rPr>
          <w:t>Kampusch et al.</w:t>
        </w:r>
      </w:hyperlink>
      <w:r>
        <w:rPr>
          <w:color w:val="6D6E71"/>
        </w:rPr>
        <w:t>, </w:t>
      </w:r>
      <w:hyperlink w:history="true" w:anchor="_bookmark44">
        <w:r>
          <w:rPr>
            <w:color w:val="6D6E71"/>
          </w:rPr>
          <w:t>2013</w:t>
        </w:r>
      </w:hyperlink>
      <w:r>
        <w:rPr>
          <w:color w:val="231F20"/>
        </w:rPr>
        <w:t>). The pulse width usually determines the type of fibers to be excited. That is, short pulses recruit easily excitable thick fibers only while elongated pulses recruit both thick and thin fibers (</w:t>
      </w:r>
      <w:hyperlink w:history="true" w:anchor="_bookmark48">
        <w:r>
          <w:rPr>
            <w:color w:val="6D6E71"/>
          </w:rPr>
          <w:t>Kaniusas</w:t>
        </w:r>
      </w:hyperlink>
      <w:r>
        <w:rPr>
          <w:color w:val="6D6E71"/>
        </w:rPr>
        <w:t>, </w:t>
      </w:r>
      <w:hyperlink w:history="true" w:anchor="_bookmark48">
        <w:r>
          <w:rPr>
            <w:color w:val="6D6E71"/>
          </w:rPr>
          <w:t>2019</w:t>
        </w:r>
      </w:hyperlink>
      <w:r>
        <w:rPr>
          <w:color w:val="231F20"/>
        </w:rPr>
        <w:t>). For the transcutaneous aVNS, authors in </w:t>
      </w:r>
      <w:hyperlink w:history="true" w:anchor="_bookmark8">
        <w:r>
          <w:rPr>
            <w:color w:val="6D6E71"/>
          </w:rPr>
          <w:t>Badran et al.</w:t>
        </w:r>
      </w:hyperlink>
      <w:r>
        <w:rPr>
          <w:color w:val="6D6E71"/>
        </w:rPr>
        <w:t> (</w:t>
      </w:r>
      <w:hyperlink w:history="true" w:anchor="_bookmark8">
        <w:r>
          <w:rPr>
            <w:color w:val="6D6E71"/>
          </w:rPr>
          <w:t>2018b</w:t>
        </w:r>
      </w:hyperlink>
      <w:r>
        <w:rPr>
          <w:color w:val="6D6E71"/>
        </w:rPr>
        <w:t>)  </w:t>
      </w:r>
      <w:r>
        <w:rPr>
          <w:color w:val="231F20"/>
          <w:spacing w:val="-5"/>
        </w:rPr>
        <w:t>show </w:t>
      </w:r>
      <w:r>
        <w:rPr>
          <w:color w:val="231F20"/>
        </w:rPr>
        <w:t>that different stimulation parameters yield different responses </w:t>
      </w:r>
      <w:r>
        <w:rPr>
          <w:color w:val="231F20"/>
          <w:spacing w:val="-7"/>
        </w:rPr>
        <w:t>in </w:t>
      </w:r>
      <w:r>
        <w:rPr>
          <w:color w:val="231F20"/>
        </w:rPr>
        <w:t>the heart rate (systemic body parameter), whereas </w:t>
      </w:r>
      <w:hyperlink w:history="true" w:anchor="_bookmark76">
        <w:r>
          <w:rPr>
            <w:color w:val="6D6E71"/>
          </w:rPr>
          <w:t>Polak et </w:t>
        </w:r>
        <w:r>
          <w:rPr>
            <w:color w:val="6D6E71"/>
            <w:spacing w:val="-4"/>
          </w:rPr>
          <w:t>al.</w:t>
        </w:r>
      </w:hyperlink>
      <w:r>
        <w:rPr>
          <w:color w:val="6D6E71"/>
          <w:spacing w:val="-4"/>
        </w:rPr>
        <w:t> </w:t>
      </w:r>
      <w:r>
        <w:rPr>
          <w:color w:val="6D6E71"/>
        </w:rPr>
        <w:t>(</w:t>
      </w:r>
      <w:hyperlink w:history="true" w:anchor="_bookmark76">
        <w:r>
          <w:rPr>
            <w:color w:val="6D6E71"/>
          </w:rPr>
          <w:t>2009</w:t>
        </w:r>
      </w:hyperlink>
      <w:r>
        <w:rPr>
          <w:color w:val="6D6E71"/>
        </w:rPr>
        <w:t>) </w:t>
      </w:r>
      <w:r>
        <w:rPr>
          <w:color w:val="231F20"/>
        </w:rPr>
        <w:t>use vagus somatosensory evoked potentials to </w:t>
      </w:r>
      <w:r>
        <w:rPr>
          <w:color w:val="231F20"/>
          <w:spacing w:val="-3"/>
        </w:rPr>
        <w:t>optimize </w:t>
      </w:r>
      <w:r>
        <w:rPr>
          <w:color w:val="231F20"/>
        </w:rPr>
        <w:t>parameters. It highlights the physiological and therapeutic relevance of the selected stimulation</w:t>
      </w:r>
      <w:r>
        <w:rPr>
          <w:color w:val="231F20"/>
          <w:spacing w:val="-1"/>
        </w:rPr>
        <w:t> </w:t>
      </w:r>
      <w:r>
        <w:rPr>
          <w:color w:val="231F20"/>
        </w:rPr>
        <w:t>parameters.</w:t>
      </w:r>
    </w:p>
    <w:p>
      <w:pPr>
        <w:pStyle w:val="BodyText"/>
        <w:spacing w:line="250" w:lineRule="exact"/>
        <w:ind w:left="388"/>
      </w:pPr>
      <w:r>
        <w:rPr/>
        <w:pict>
          <v:shape style="position:absolute;margin-left:42.835449pt;margin-top:11.824467pt;width:251.05pt;height:12.15pt;mso-position-horizontal-relative:page;mso-position-vertical-relative:paragraph;z-index:2344" type="#_x0000_t202" filled="true" fillcolor="#fde164" stroked="false">
            <v:textbox inset="0,0,0,0">
              <w:txbxContent>
                <w:p>
                  <w:pPr>
                    <w:pStyle w:val="BodyText"/>
                    <w:spacing w:line="243" w:lineRule="exact"/>
                    <w:ind w:left="42"/>
                  </w:pPr>
                  <w:r>
                    <w:rPr>
                      <w:color w:val="231F20"/>
                    </w:rPr>
                    <w:t>stimulation (</w:t>
                  </w:r>
                  <w:hyperlink w:history="true" w:anchor="_bookmark61">
                    <w:r>
                      <w:rPr>
                        <w:color w:val="6D6E71"/>
                      </w:rPr>
                      <w:t>Martlé et al.</w:t>
                    </w:r>
                  </w:hyperlink>
                  <w:r>
                    <w:rPr>
                      <w:color w:val="6D6E71"/>
                    </w:rPr>
                    <w:t>, </w:t>
                  </w:r>
                  <w:hyperlink w:history="true" w:anchor="_bookmark61">
                    <w:r>
                      <w:rPr>
                        <w:color w:val="6D6E71"/>
                      </w:rPr>
                      <w:t>2014</w:t>
                    </w:r>
                  </w:hyperlink>
                  <w:r>
                    <w:rPr>
                      <w:color w:val="231F20"/>
                    </w:rPr>
                    <w:t>; </w:t>
                  </w:r>
                  <w:hyperlink w:history="true" w:anchor="_bookmark102">
                    <w:r>
                      <w:rPr>
                        <w:color w:val="6D6E71"/>
                      </w:rPr>
                      <w:t>Szabó et al.</w:t>
                    </w:r>
                  </w:hyperlink>
                  <w:r>
                    <w:rPr>
                      <w:color w:val="6D6E71"/>
                    </w:rPr>
                    <w:t>, </w:t>
                  </w:r>
                  <w:hyperlink w:history="true" w:anchor="_bookmark102">
                    <w:r>
                      <w:rPr>
                        <w:color w:val="6D6E71"/>
                      </w:rPr>
                      <w:t>2017</w:t>
                    </w:r>
                  </w:hyperlink>
                  <w:r>
                    <w:rPr>
                      <w:color w:val="231F20"/>
                    </w:rPr>
                    <w:t>); e.g., with</w:t>
                  </w:r>
                </w:p>
              </w:txbxContent>
            </v:textbox>
            <v:fill opacity="26214f" type="solid"/>
            <w10:wrap type="none"/>
          </v:shape>
        </w:pict>
      </w:r>
      <w:r>
        <w:rPr/>
        <w:pict>
          <v:shape style="position:absolute;margin-left:72.865028pt;margin-top:.367466pt;width:221pt;height:11.5pt;mso-position-horizontal-relative:page;mso-position-vertical-relative:paragraph;z-index:2368" type="#_x0000_t202" filled="true" fillcolor="#fde164" stroked="false">
            <v:textbox inset="0,0,0,0">
              <w:txbxContent>
                <w:p>
                  <w:pPr>
                    <w:pStyle w:val="BodyText"/>
                    <w:spacing w:line="229" w:lineRule="exact"/>
                    <w:ind w:left="42"/>
                  </w:pPr>
                  <w:r>
                    <w:rPr>
                      <w:color w:val="231F20"/>
                    </w:rPr>
                    <w:t>efficiency of stimulation can be increased with bursted</w:t>
                  </w:r>
                </w:p>
              </w:txbxContent>
            </v:textbox>
            <v:fill opacity="26214f" type="solid"/>
            <w10:wrap type="none"/>
          </v:shape>
        </w:pict>
      </w:r>
      <w:r>
        <w:rPr>
          <w:color w:val="231F20"/>
        </w:rPr>
        <w:t>The</w:t>
      </w:r>
    </w:p>
    <w:p>
      <w:pPr>
        <w:pStyle w:val="BodyText"/>
        <w:spacing w:before="7"/>
        <w:ind w:left="0"/>
        <w:rPr>
          <w:sz w:val="16"/>
        </w:rPr>
      </w:pPr>
    </w:p>
    <w:p>
      <w:pPr>
        <w:pStyle w:val="BodyText"/>
        <w:spacing w:line="213" w:lineRule="auto"/>
        <w:ind w:firstLine="2822"/>
        <w:jc w:val="both"/>
      </w:pPr>
      <w:r>
        <w:rPr/>
        <w:pict>
          <v:shape style="position:absolute;margin-left:238.186584pt;margin-top:91.307587pt;width:55.7pt;height:11.5pt;mso-position-horizontal-relative:page;mso-position-vertical-relative:paragraph;z-index:-41200" type="#_x0000_t202" filled="true" fillcolor="#fde164" stroked="false">
            <v:textbox inset="0,0,0,0">
              <w:txbxContent>
                <w:p>
                  <w:pPr>
                    <w:pStyle w:val="BodyText"/>
                    <w:spacing w:line="229" w:lineRule="exact"/>
                    <w:ind w:left="66"/>
                  </w:pPr>
                  <w:r>
                    <w:rPr>
                      <w:color w:val="231F20"/>
                    </w:rPr>
                    <w:t>On the other</w:t>
                  </w:r>
                </w:p>
              </w:txbxContent>
            </v:textbox>
            <v:fill opacity="26214f" type="solid"/>
            <w10:wrap type="none"/>
          </v:shape>
        </w:pict>
      </w:r>
      <w:r>
        <w:rPr/>
        <w:pict>
          <v:shape style="position:absolute;margin-left:42.835449pt;margin-top:.324885pt;width:142.1pt;height:11.5pt;mso-position-horizontal-relative:page;mso-position-vertical-relative:paragraph;z-index:-41152" type="#_x0000_t202" filled="true" fillcolor="#fde164" stroked="false">
            <v:textbox inset="0,0,0,0">
              <w:txbxContent>
                <w:p>
                  <w:pPr>
                    <w:pStyle w:val="BodyText"/>
                    <w:spacing w:line="229" w:lineRule="exact"/>
                    <w:ind w:left="42"/>
                  </w:pPr>
                  <w:r>
                    <w:rPr>
                      <w:color w:val="231F20"/>
                    </w:rPr>
                    <w:t>bursts of short pulses every second</w:t>
                  </w:r>
                </w:p>
              </w:txbxContent>
            </v:textbox>
            <v:fill opacity="26214f" type="solid"/>
            <w10:wrap type="none"/>
          </v:shape>
        </w:pict>
      </w:r>
      <w:r>
        <w:rPr>
          <w:color w:val="231F20"/>
        </w:rPr>
        <w:t>(</w:t>
      </w:r>
      <w:hyperlink w:history="true" w:anchor="_bookmark83">
        <w:r>
          <w:rPr>
            <w:color w:val="6D6E71"/>
          </w:rPr>
          <w:t>Reilly and Diamant</w:t>
        </w:r>
      </w:hyperlink>
      <w:r>
        <w:rPr>
          <w:color w:val="6D6E71"/>
        </w:rPr>
        <w:t>, </w:t>
      </w:r>
      <w:hyperlink w:history="true" w:anchor="_bookmark83">
        <w:r>
          <w:rPr>
            <w:color w:val="6D6E71"/>
            <w:spacing w:val="-5"/>
          </w:rPr>
          <w:t>2011</w:t>
        </w:r>
      </w:hyperlink>
      <w:r>
        <w:rPr>
          <w:color w:val="231F20"/>
          <w:spacing w:val="-5"/>
        </w:rPr>
        <w:t>; </w:t>
      </w:r>
      <w:hyperlink w:history="true" w:anchor="_bookmark44">
        <w:r>
          <w:rPr>
            <w:color w:val="6D6E71"/>
          </w:rPr>
          <w:t>Kampusch et al.</w:t>
        </w:r>
      </w:hyperlink>
      <w:r>
        <w:rPr>
          <w:color w:val="6D6E71"/>
        </w:rPr>
        <w:t>, </w:t>
      </w:r>
      <w:hyperlink w:history="true" w:anchor="_bookmark44">
        <w:r>
          <w:rPr>
            <w:color w:val="6D6E71"/>
          </w:rPr>
          <w:t>2013</w:t>
        </w:r>
      </w:hyperlink>
      <w:r>
        <w:rPr>
          <w:color w:val="231F20"/>
        </w:rPr>
        <w:t>; </w:t>
      </w:r>
      <w:hyperlink w:history="true" w:anchor="_bookmark48">
        <w:r>
          <w:rPr>
            <w:color w:val="6D6E71"/>
          </w:rPr>
          <w:t>Kaniusas</w:t>
        </w:r>
      </w:hyperlink>
      <w:r>
        <w:rPr>
          <w:color w:val="6D6E71"/>
        </w:rPr>
        <w:t>, </w:t>
      </w:r>
      <w:hyperlink w:history="true" w:anchor="_bookmark48">
        <w:r>
          <w:rPr>
            <w:color w:val="6D6E71"/>
          </w:rPr>
          <w:t>2019</w:t>
        </w:r>
      </w:hyperlink>
      <w:r>
        <w:rPr>
          <w:color w:val="231F20"/>
        </w:rPr>
        <w:t>). A single or a few action impulses triggered  at  the  sensory  aVN  endings  in  </w:t>
      </w:r>
      <w:r>
        <w:rPr>
          <w:color w:val="231F20"/>
          <w:spacing w:val="-3"/>
        </w:rPr>
        <w:t>response  </w:t>
      </w:r>
      <w:r>
        <w:rPr>
          <w:color w:val="231F20"/>
        </w:rPr>
        <w:t>to single electrical stimuli are less likely to influence systemic regulation or brain activity (e.g., the sympathovagal balance), rather than a rhythmic sequence of these impulses. This is because gradual natural sensory information is coded as </w:t>
      </w:r>
      <w:r>
        <w:rPr>
          <w:color w:val="231F20"/>
          <w:spacing w:val="-5"/>
        </w:rPr>
        <w:t>the </w:t>
      </w:r>
      <w:r>
        <w:rPr>
          <w:color w:val="231F20"/>
        </w:rPr>
        <w:t>gradual temporal density of non-gradual impulses, </w:t>
      </w:r>
      <w:r>
        <w:rPr>
          <w:color w:val="231F20"/>
          <w:spacing w:val="-3"/>
        </w:rPr>
        <w:t>likewise, </w:t>
      </w:r>
      <w:r>
        <w:rPr>
          <w:color w:val="231F20"/>
        </w:rPr>
        <w:t>coded</w:t>
      </w:r>
      <w:r>
        <w:rPr>
          <w:color w:val="231F20"/>
          <w:spacing w:val="11"/>
        </w:rPr>
        <w:t> </w:t>
      </w:r>
      <w:r>
        <w:rPr>
          <w:color w:val="231F20"/>
        </w:rPr>
        <w:t>as</w:t>
      </w:r>
      <w:r>
        <w:rPr>
          <w:color w:val="231F20"/>
          <w:spacing w:val="11"/>
        </w:rPr>
        <w:t> </w:t>
      </w:r>
      <w:r>
        <w:rPr>
          <w:color w:val="231F20"/>
        </w:rPr>
        <w:t>the</w:t>
      </w:r>
      <w:r>
        <w:rPr>
          <w:color w:val="231F20"/>
          <w:spacing w:val="11"/>
        </w:rPr>
        <w:t> </w:t>
      </w:r>
      <w:r>
        <w:rPr>
          <w:color w:val="231F20"/>
        </w:rPr>
        <w:t>instantaneous</w:t>
      </w:r>
      <w:r>
        <w:rPr>
          <w:color w:val="231F20"/>
          <w:spacing w:val="11"/>
        </w:rPr>
        <w:t> </w:t>
      </w:r>
      <w:r>
        <w:rPr>
          <w:color w:val="231F20"/>
        </w:rPr>
        <w:t>frequency</w:t>
      </w:r>
      <w:r>
        <w:rPr>
          <w:color w:val="231F20"/>
          <w:spacing w:val="11"/>
        </w:rPr>
        <w:t> </w:t>
      </w:r>
      <w:r>
        <w:rPr>
          <w:color w:val="231F20"/>
        </w:rPr>
        <w:t>of</w:t>
      </w:r>
      <w:r>
        <w:rPr>
          <w:color w:val="231F20"/>
          <w:spacing w:val="11"/>
        </w:rPr>
        <w:t> </w:t>
      </w:r>
      <w:r>
        <w:rPr>
          <w:color w:val="231F20"/>
        </w:rPr>
        <w:t>impulses.</w:t>
      </w:r>
    </w:p>
    <w:p>
      <w:pPr>
        <w:pStyle w:val="BodyText"/>
        <w:ind w:left="116" w:right="-101"/>
        <w:rPr>
          <w:sz w:val="20"/>
        </w:rPr>
      </w:pPr>
      <w:r>
        <w:rPr>
          <w:sz w:val="20"/>
        </w:rPr>
        <w:pict>
          <v:shape style="width:251.05pt;height:23.6pt;mso-position-horizontal-relative:char;mso-position-vertical-relative:line" type="#_x0000_t202" filled="true" fillcolor="#fde164" stroked="false">
            <w10:anchorlock/>
            <v:textbox inset="0,0,0,0">
              <w:txbxContent>
                <w:p>
                  <w:pPr>
                    <w:pStyle w:val="BodyText"/>
                    <w:spacing w:line="213" w:lineRule="auto" w:before="7"/>
                    <w:ind w:left="42"/>
                  </w:pPr>
                  <w:r>
                    <w:rPr>
                      <w:color w:val="231F20"/>
                    </w:rPr>
                    <w:t>hand, the brain with its very large number of neurons and its sophisticated processing is not likely to respond reasonably to a</w:t>
                  </w:r>
                </w:p>
              </w:txbxContent>
            </v:textbox>
            <v:fill opacity="26214f" type="solid"/>
          </v:shape>
        </w:pict>
      </w:r>
      <w:r>
        <w:rPr>
          <w:sz w:val="20"/>
        </w:rPr>
      </w:r>
    </w:p>
    <w:p>
      <w:pPr>
        <w:pStyle w:val="BodyText"/>
        <w:spacing w:line="213" w:lineRule="auto" w:before="201"/>
        <w:ind w:firstLine="229"/>
        <w:jc w:val="both"/>
      </w:pPr>
      <w:r>
        <w:rPr/>
        <w:pict>
          <v:shape style="position:absolute;margin-left:42.835449pt;margin-top:-1.082101pt;width:195.4pt;height:11.5pt;mso-position-horizontal-relative:page;mso-position-vertical-relative:paragraph;z-index:2248" type="#_x0000_t202" filled="true" fillcolor="#fde164" stroked="false">
            <v:textbox inset="0,0,0,0">
              <w:txbxContent>
                <w:p>
                  <w:pPr>
                    <w:pStyle w:val="BodyText"/>
                    <w:spacing w:line="229" w:lineRule="exact"/>
                    <w:ind w:left="42"/>
                  </w:pPr>
                  <w:r>
                    <w:rPr>
                      <w:color w:val="231F20"/>
                    </w:rPr>
                    <w:t>single or a few impulses but to a train of impulses.</w:t>
                  </w:r>
                </w:p>
              </w:txbxContent>
            </v:textbox>
            <v:fill opacity="26214f" type="solid"/>
            <w10:wrap type="none"/>
          </v:shape>
        </w:pict>
      </w:r>
      <w:r>
        <w:rPr>
          <w:color w:val="231F20"/>
        </w:rPr>
        <w:t>Due to complex physiology of the body, continuous </w:t>
      </w:r>
      <w:r>
        <w:rPr>
          <w:color w:val="231F20"/>
          <w:spacing w:val="-5"/>
        </w:rPr>
        <w:t>and </w:t>
      </w:r>
      <w:r>
        <w:rPr>
          <w:color w:val="231F20"/>
        </w:rPr>
        <w:t>intermittent stimulation, as well as strong and moderate stimulation, may even induce opposite physiological  effects.  For instance, synergistic actions of both sympathetic </w:t>
      </w:r>
      <w:r>
        <w:rPr>
          <w:color w:val="231F20"/>
          <w:spacing w:val="-5"/>
        </w:rPr>
        <w:t>and </w:t>
      </w:r>
      <w:r>
        <w:rPr>
          <w:color w:val="231F20"/>
        </w:rPr>
        <w:t>parasympathetic systems were shown  for  continuous  </w:t>
      </w:r>
      <w:r>
        <w:rPr>
          <w:color w:val="231F20"/>
          <w:spacing w:val="-5"/>
        </w:rPr>
        <w:t>VNS </w:t>
      </w:r>
      <w:r>
        <w:rPr>
          <w:color w:val="231F20"/>
        </w:rPr>
        <w:t>(e.g., 10 Hz stimulation with 0.1 ms  rectangular  </w:t>
      </w:r>
      <w:r>
        <w:rPr>
          <w:color w:val="231F20"/>
          <w:spacing w:val="-3"/>
        </w:rPr>
        <w:t>pulses), </w:t>
      </w:r>
      <w:r>
        <w:rPr>
          <w:color w:val="231F20"/>
        </w:rPr>
        <w:t>whereas antagonistic actions were demonstrated for </w:t>
      </w:r>
      <w:r>
        <w:rPr>
          <w:color w:val="231F20"/>
          <w:spacing w:val="-2"/>
        </w:rPr>
        <w:t>intermittent </w:t>
      </w:r>
      <w:r>
        <w:rPr>
          <w:color w:val="231F20"/>
        </w:rPr>
        <w:t>VNS</w:t>
      </w:r>
      <w:r>
        <w:rPr>
          <w:color w:val="231F20"/>
          <w:spacing w:val="17"/>
        </w:rPr>
        <w:t> </w:t>
      </w:r>
      <w:r>
        <w:rPr>
          <w:color w:val="231F20"/>
        </w:rPr>
        <w:t>(e.g.,</w:t>
      </w:r>
      <w:r>
        <w:rPr>
          <w:color w:val="231F20"/>
          <w:spacing w:val="19"/>
        </w:rPr>
        <w:t> </w:t>
      </w:r>
      <w:r>
        <w:rPr>
          <w:color w:val="231F20"/>
        </w:rPr>
        <w:t>10</w:t>
      </w:r>
      <w:r>
        <w:rPr>
          <w:color w:val="231F20"/>
          <w:spacing w:val="19"/>
        </w:rPr>
        <w:t> </w:t>
      </w:r>
      <w:r>
        <w:rPr>
          <w:color w:val="231F20"/>
        </w:rPr>
        <w:t>s</w:t>
      </w:r>
      <w:r>
        <w:rPr>
          <w:color w:val="231F20"/>
          <w:spacing w:val="18"/>
        </w:rPr>
        <w:t> </w:t>
      </w:r>
      <w:r>
        <w:rPr>
          <w:color w:val="231F20"/>
        </w:rPr>
        <w:t>ON</w:t>
      </w:r>
      <w:r>
        <w:rPr>
          <w:color w:val="231F20"/>
          <w:spacing w:val="18"/>
        </w:rPr>
        <w:t> </w:t>
      </w:r>
      <w:r>
        <w:rPr>
          <w:color w:val="231F20"/>
        </w:rPr>
        <w:t>period</w:t>
      </w:r>
      <w:r>
        <w:rPr>
          <w:color w:val="231F20"/>
          <w:spacing w:val="18"/>
        </w:rPr>
        <w:t> </w:t>
      </w:r>
      <w:r>
        <w:rPr>
          <w:color w:val="231F20"/>
        </w:rPr>
        <w:t>followed</w:t>
      </w:r>
      <w:r>
        <w:rPr>
          <w:color w:val="231F20"/>
          <w:spacing w:val="19"/>
        </w:rPr>
        <w:t> </w:t>
      </w:r>
      <w:r>
        <w:rPr>
          <w:color w:val="231F20"/>
        </w:rPr>
        <w:t>by</w:t>
      </w:r>
      <w:r>
        <w:rPr>
          <w:color w:val="231F20"/>
          <w:spacing w:val="18"/>
        </w:rPr>
        <w:t> </w:t>
      </w:r>
      <w:r>
        <w:rPr>
          <w:color w:val="231F20"/>
        </w:rPr>
        <w:t>50</w:t>
      </w:r>
      <w:r>
        <w:rPr>
          <w:color w:val="231F20"/>
          <w:spacing w:val="18"/>
        </w:rPr>
        <w:t> </w:t>
      </w:r>
      <w:r>
        <w:rPr>
          <w:color w:val="231F20"/>
        </w:rPr>
        <w:t>s</w:t>
      </w:r>
      <w:r>
        <w:rPr>
          <w:color w:val="231F20"/>
          <w:spacing w:val="19"/>
        </w:rPr>
        <w:t> </w:t>
      </w:r>
      <w:r>
        <w:rPr>
          <w:color w:val="231F20"/>
        </w:rPr>
        <w:t>OFF</w:t>
      </w:r>
      <w:r>
        <w:rPr>
          <w:color w:val="231F20"/>
          <w:spacing w:val="18"/>
        </w:rPr>
        <w:t> </w:t>
      </w:r>
      <w:r>
        <w:rPr>
          <w:color w:val="231F20"/>
        </w:rPr>
        <w:t>period)</w:t>
      </w:r>
    </w:p>
    <w:p>
      <w:pPr>
        <w:pStyle w:val="BodyText"/>
        <w:spacing w:line="213" w:lineRule="auto" w:before="107"/>
        <w:ind w:right="155"/>
        <w:jc w:val="both"/>
      </w:pPr>
      <w:r>
        <w:rPr/>
        <w:br w:type="column"/>
      </w:r>
      <w:r>
        <w:rPr>
          <w:color w:val="231F20"/>
        </w:rPr>
        <w:t>(</w:t>
      </w:r>
      <w:hyperlink w:history="true" w:anchor="_bookmark19">
        <w:r>
          <w:rPr>
            <w:color w:val="6D6E71"/>
          </w:rPr>
          <w:t>Buchholz et al.</w:t>
        </w:r>
      </w:hyperlink>
      <w:r>
        <w:rPr>
          <w:color w:val="6D6E71"/>
        </w:rPr>
        <w:t>, </w:t>
      </w:r>
      <w:hyperlink w:history="true" w:anchor="_bookmark19">
        <w:r>
          <w:rPr>
            <w:color w:val="6D6E71"/>
          </w:rPr>
          <w:t>2014</w:t>
        </w:r>
      </w:hyperlink>
      <w:r>
        <w:rPr>
          <w:color w:val="231F20"/>
        </w:rPr>
        <w:t>). Here, for instance, the continuous VNS was suggested to produce strong bradycardia and increased loading conditions of the heart, leading to compensatory sympathetic reflexes.</w:t>
      </w:r>
    </w:p>
    <w:p>
      <w:pPr>
        <w:pStyle w:val="BodyText"/>
        <w:spacing w:line="242" w:lineRule="exact"/>
        <w:ind w:left="116"/>
        <w:rPr>
          <w:sz w:val="20"/>
        </w:rPr>
      </w:pPr>
      <w:r>
        <w:rPr>
          <w:position w:val="-4"/>
          <w:sz w:val="20"/>
        </w:rPr>
        <w:pict>
          <v:shape style="width:251.05pt;height:12.15pt;mso-position-horizontal-relative:char;mso-position-vertical-relative:line" type="#_x0000_t202" filled="true" fillcolor="#fde164" stroked="false">
            <w10:anchorlock/>
            <v:textbox inset="0,0,0,0">
              <w:txbxContent>
                <w:p>
                  <w:pPr>
                    <w:pStyle w:val="BodyText"/>
                    <w:spacing w:line="243" w:lineRule="exact"/>
                    <w:ind w:left="42"/>
                  </w:pPr>
                  <w:r>
                    <w:rPr>
                      <w:color w:val="231F20"/>
                    </w:rPr>
                    <w:t>average,</w:t>
                  </w:r>
                  <w:r>
                    <w:rPr>
                      <w:color w:val="231F20"/>
                      <w:spacing w:val="-9"/>
                    </w:rPr>
                    <w:t> </w:t>
                  </w:r>
                  <w:r>
                    <w:rPr>
                      <w:color w:val="231F20"/>
                    </w:rPr>
                    <w:t>not</w:t>
                  </w:r>
                  <w:r>
                    <w:rPr>
                      <w:color w:val="231F20"/>
                      <w:spacing w:val="-9"/>
                    </w:rPr>
                    <w:t> </w:t>
                  </w:r>
                  <w:r>
                    <w:rPr>
                      <w:color w:val="231F20"/>
                    </w:rPr>
                    <w:t>intense</w:t>
                  </w:r>
                  <w:r>
                    <w:rPr>
                      <w:color w:val="231F20"/>
                      <w:spacing w:val="-9"/>
                    </w:rPr>
                    <w:t> </w:t>
                  </w:r>
                  <w:r>
                    <w:rPr>
                      <w:color w:val="231F20"/>
                    </w:rPr>
                    <w:t>enough</w:t>
                  </w:r>
                  <w:r>
                    <w:rPr>
                      <w:color w:val="231F20"/>
                      <w:spacing w:val="-9"/>
                    </w:rPr>
                    <w:t> </w:t>
                  </w:r>
                  <w:r>
                    <w:rPr>
                      <w:color w:val="231F20"/>
                    </w:rPr>
                    <w:t>so</w:t>
                  </w:r>
                  <w:r>
                    <w:rPr>
                      <w:color w:val="231F20"/>
                      <w:spacing w:val="-9"/>
                    </w:rPr>
                    <w:t> </w:t>
                  </w:r>
                  <w:r>
                    <w:rPr>
                      <w:color w:val="231F20"/>
                    </w:rPr>
                    <w:t>that</w:t>
                  </w:r>
                  <w:r>
                    <w:rPr>
                      <w:color w:val="231F20"/>
                      <w:spacing w:val="-9"/>
                    </w:rPr>
                    <w:t> </w:t>
                  </w:r>
                  <w:r>
                    <w:rPr>
                      <w:color w:val="231F20"/>
                    </w:rPr>
                    <w:t>the</w:t>
                  </w:r>
                  <w:r>
                    <w:rPr>
                      <w:color w:val="231F20"/>
                      <w:spacing w:val="-9"/>
                    </w:rPr>
                    <w:t> </w:t>
                  </w:r>
                  <w:r>
                    <w:rPr>
                      <w:color w:val="231F20"/>
                    </w:rPr>
                    <w:t>parasympathetic</w:t>
                  </w:r>
                  <w:r>
                    <w:rPr>
                      <w:color w:val="231F20"/>
                      <w:spacing w:val="-9"/>
                    </w:rPr>
                    <w:t> </w:t>
                  </w:r>
                  <w:r>
                    <w:rPr>
                      <w:color w:val="231F20"/>
                    </w:rPr>
                    <w:t>VNS</w:t>
                  </w:r>
                  <w:r>
                    <w:rPr>
                      <w:color w:val="231F20"/>
                      <w:spacing w:val="-9"/>
                    </w:rPr>
                    <w:t> </w:t>
                  </w:r>
                  <w:r>
                    <w:rPr>
                      <w:color w:val="231F20"/>
                    </w:rPr>
                    <w:t>was</w:t>
                  </w:r>
                </w:p>
              </w:txbxContent>
            </v:textbox>
            <v:fill opacity="26214f" type="solid"/>
          </v:shape>
        </w:pict>
      </w:r>
      <w:r>
        <w:rPr>
          <w:position w:val="-4"/>
          <w:sz w:val="20"/>
        </w:rPr>
      </w:r>
    </w:p>
    <w:p>
      <w:pPr>
        <w:pStyle w:val="BodyText"/>
        <w:spacing w:before="4"/>
        <w:ind w:left="0"/>
        <w:rPr>
          <w:sz w:val="16"/>
        </w:rPr>
      </w:pPr>
    </w:p>
    <w:p>
      <w:pPr>
        <w:pStyle w:val="BodyText"/>
        <w:spacing w:line="213" w:lineRule="auto"/>
        <w:ind w:right="155" w:firstLine="229"/>
        <w:jc w:val="both"/>
      </w:pPr>
      <w:r>
        <w:rPr/>
        <w:pict>
          <v:shape style="position:absolute;margin-left:301.521454pt;margin-top:56.935593pt;width:251.05pt;height:23.6pt;mso-position-horizontal-relative:page;mso-position-vertical-relative:paragraph;z-index:2416" type="#_x0000_t202" filled="true" fillcolor="#fde164" stroked="false">
            <v:textbox inset="0,0,0,0">
              <w:txbxContent>
                <w:p>
                  <w:pPr>
                    <w:pStyle w:val="BodyText"/>
                    <w:spacing w:line="213" w:lineRule="auto" w:before="7"/>
                    <w:ind w:left="42"/>
                  </w:pPr>
                  <w:r>
                    <w:rPr>
                      <w:color w:val="231F20"/>
                    </w:rPr>
                    <w:t>For instance, the activation of the anti-inflammatory response required only a brief VNS stimulus and lasted for more</w:t>
                  </w:r>
                </w:p>
              </w:txbxContent>
            </v:textbox>
            <v:fill opacity="26214f" type="solid"/>
            <w10:wrap type="none"/>
          </v:shape>
        </w:pict>
      </w:r>
      <w:r>
        <w:rPr/>
        <w:pict>
          <v:shape style="position:absolute;margin-left:301.521454pt;margin-top:-11.132107pt;width:179.95pt;height:11.5pt;mso-position-horizontal-relative:page;mso-position-vertical-relative:paragraph;z-index:2440" type="#_x0000_t202" filled="true" fillcolor="#fde164" stroked="false">
            <v:textbox inset="0,0,0,0">
              <w:txbxContent>
                <w:p>
                  <w:pPr>
                    <w:pStyle w:val="BodyText"/>
                    <w:spacing w:line="229" w:lineRule="exact"/>
                    <w:ind w:left="42" w:right="-15"/>
                  </w:pPr>
                  <w:r>
                    <w:rPr>
                      <w:color w:val="231F20"/>
                    </w:rPr>
                    <w:t>still able to antagonize the sympathetic</w:t>
                  </w:r>
                  <w:r>
                    <w:rPr>
                      <w:color w:val="231F20"/>
                      <w:spacing w:val="-3"/>
                    </w:rPr>
                    <w:t> </w:t>
                  </w:r>
                  <w:r>
                    <w:rPr>
                      <w:color w:val="231F20"/>
                    </w:rPr>
                    <w:t>system.</w:t>
                  </w:r>
                </w:p>
              </w:txbxContent>
            </v:textbox>
            <v:fill opacity="26214f" type="solid"/>
            <w10:wrap type="none"/>
          </v:shape>
        </w:pict>
      </w:r>
      <w:r>
        <w:rPr/>
        <w:pict>
          <v:shape style="position:absolute;margin-left:384.827057pt;margin-top:-34.720406pt;width:167.75pt;height:11.5pt;mso-position-horizontal-relative:page;mso-position-vertical-relative:paragraph;z-index:-41008" type="#_x0000_t202" filled="true" fillcolor="#fde164" stroked="false">
            <v:textbox inset="0,0,0,0">
              <w:txbxContent>
                <w:p>
                  <w:pPr>
                    <w:pStyle w:val="BodyText"/>
                    <w:spacing w:line="229" w:lineRule="exact"/>
                    <w:ind w:left="42"/>
                  </w:pPr>
                  <w:r>
                    <w:rPr>
                      <w:color w:val="231F20"/>
                    </w:rPr>
                    <w:t>In contrast, the intermittent VNS was, on</w:t>
                  </w:r>
                </w:p>
              </w:txbxContent>
            </v:textbox>
            <v:fill opacity="26214f" type="solid"/>
            <w10:wrap type="none"/>
          </v:shape>
        </w:pict>
      </w:r>
      <w:r>
        <w:rPr>
          <w:color w:val="231F20"/>
        </w:rPr>
        <w:t>Obviously, VNS or aVNS should be optimized with respect  to the administered dose and duty cycle, whereas the ALARA principle (“as low as reasonably achievable”) applies for a given therapeutic indication. Favorably, VNS  or  aVNS  should  not  be</w:t>
      </w:r>
      <w:r>
        <w:rPr>
          <w:color w:val="231F20"/>
          <w:spacing w:val="9"/>
        </w:rPr>
        <w:t> </w:t>
      </w:r>
      <w:r>
        <w:rPr>
          <w:color w:val="231F20"/>
        </w:rPr>
        <w:t>chronic</w:t>
      </w:r>
      <w:r>
        <w:rPr>
          <w:color w:val="231F20"/>
          <w:spacing w:val="9"/>
        </w:rPr>
        <w:t> </w:t>
      </w:r>
      <w:r>
        <w:rPr>
          <w:color w:val="231F20"/>
        </w:rPr>
        <w:t>in</w:t>
      </w:r>
      <w:r>
        <w:rPr>
          <w:color w:val="231F20"/>
          <w:spacing w:val="9"/>
        </w:rPr>
        <w:t> </w:t>
      </w:r>
      <w:r>
        <w:rPr>
          <w:color w:val="231F20"/>
        </w:rPr>
        <w:t>order</w:t>
      </w:r>
      <w:r>
        <w:rPr>
          <w:color w:val="231F20"/>
          <w:spacing w:val="9"/>
        </w:rPr>
        <w:t> </w:t>
      </w:r>
      <w:r>
        <w:rPr>
          <w:color w:val="231F20"/>
        </w:rPr>
        <w:t>to</w:t>
      </w:r>
      <w:r>
        <w:rPr>
          <w:color w:val="231F20"/>
          <w:spacing w:val="9"/>
        </w:rPr>
        <w:t> </w:t>
      </w:r>
      <w:r>
        <w:rPr>
          <w:color w:val="231F20"/>
        </w:rPr>
        <w:t>attain</w:t>
      </w:r>
      <w:r>
        <w:rPr>
          <w:color w:val="231F20"/>
          <w:spacing w:val="9"/>
        </w:rPr>
        <w:t> </w:t>
      </w:r>
      <w:r>
        <w:rPr>
          <w:color w:val="231F20"/>
        </w:rPr>
        <w:t>sustainable</w:t>
      </w:r>
      <w:r>
        <w:rPr>
          <w:color w:val="231F20"/>
          <w:spacing w:val="9"/>
        </w:rPr>
        <w:t> </w:t>
      </w:r>
      <w:r>
        <w:rPr>
          <w:color w:val="231F20"/>
        </w:rPr>
        <w:t>therapeutic</w:t>
      </w:r>
      <w:r>
        <w:rPr>
          <w:color w:val="231F20"/>
          <w:spacing w:val="9"/>
        </w:rPr>
        <w:t> </w:t>
      </w:r>
      <w:r>
        <w:rPr>
          <w:color w:val="231F20"/>
        </w:rPr>
        <w:t>effects.</w:t>
      </w:r>
    </w:p>
    <w:p>
      <w:pPr>
        <w:pStyle w:val="BodyText"/>
        <w:spacing w:before="5"/>
        <w:ind w:left="0"/>
        <w:rPr>
          <w:sz w:val="34"/>
        </w:rPr>
      </w:pPr>
    </w:p>
    <w:p>
      <w:pPr>
        <w:pStyle w:val="BodyText"/>
        <w:spacing w:line="213" w:lineRule="auto"/>
        <w:ind w:right="155" w:firstLine="2638"/>
        <w:jc w:val="both"/>
      </w:pPr>
      <w:r>
        <w:rPr/>
        <w:pict>
          <v:shape style="position:absolute;margin-left:349.819336pt;margin-top:79.849586pt;width:202.75pt;height:11.5pt;mso-position-horizontal-relative:page;mso-position-vertical-relative:paragraph;z-index:-41176" type="#_x0000_t202" filled="true" fillcolor="#fde164" stroked="false">
            <v:textbox inset="0,0,0,0">
              <w:txbxContent>
                <w:p>
                  <w:pPr>
                    <w:pStyle w:val="BodyText"/>
                    <w:spacing w:line="229" w:lineRule="exact"/>
                    <w:ind w:left="42"/>
                  </w:pPr>
                  <w:r>
                    <w:rPr>
                      <w:color w:val="231F20"/>
                    </w:rPr>
                    <w:t>timing relevance in VNS. The influence of the</w:t>
                  </w:r>
                </w:p>
              </w:txbxContent>
            </v:textbox>
            <v:fill opacity="26214f" type="solid"/>
            <w10:wrap type="none"/>
          </v:shape>
        </w:pict>
      </w:r>
      <w:r>
        <w:rPr/>
        <w:pict>
          <v:shape style="position:absolute;margin-left:301.521454pt;margin-top:.324888pt;width:132.950pt;height:11.5pt;mso-position-horizontal-relative:page;mso-position-vertical-relative:paragraph;z-index:-41080" type="#_x0000_t202" filled="true" fillcolor="#fde164" stroked="false">
            <v:textbox inset="0,0,0,0">
              <w:txbxContent>
                <w:p>
                  <w:pPr>
                    <w:pStyle w:val="BodyText"/>
                    <w:spacing w:line="229" w:lineRule="exact"/>
                    <w:ind w:left="42" w:right="-29"/>
                  </w:pPr>
                  <w:r>
                    <w:rPr>
                      <w:color w:val="231F20"/>
                    </w:rPr>
                    <w:t>than 24 h (</w:t>
                  </w:r>
                  <w:hyperlink w:history="true" w:anchor="_bookmark72">
                    <w:r>
                      <w:rPr>
                        <w:color w:val="6D6E71"/>
                      </w:rPr>
                      <w:t>Olofsson et al.</w:t>
                    </w:r>
                  </w:hyperlink>
                  <w:r>
                    <w:rPr>
                      <w:color w:val="6D6E71"/>
                    </w:rPr>
                    <w:t>,</w:t>
                  </w:r>
                  <w:r>
                    <w:rPr>
                      <w:color w:val="6D6E71"/>
                      <w:spacing w:val="-8"/>
                    </w:rPr>
                    <w:t> </w:t>
                  </w:r>
                  <w:hyperlink w:history="true" w:anchor="_bookmark72">
                    <w:r>
                      <w:rPr>
                        <w:color w:val="6D6E71"/>
                      </w:rPr>
                      <w:t>2015</w:t>
                    </w:r>
                  </w:hyperlink>
                  <w:r>
                    <w:rPr>
                      <w:color w:val="231F20"/>
                    </w:rPr>
                    <w:t>)</w:t>
                  </w:r>
                </w:p>
              </w:txbxContent>
            </v:textbox>
            <v:fill opacity="26214f" type="solid"/>
            <w10:wrap type="none"/>
          </v:shape>
        </w:pict>
      </w:r>
      <w:r>
        <w:rPr>
          <w:color w:val="231F20"/>
        </w:rPr>
        <w:t>. A sustained antinociceptive effect of aVNS was also  observed  in  chronic  low  back  pain  for a 3 months follow-up after 6 weeks of treatment (</w:t>
      </w:r>
      <w:hyperlink w:history="true" w:anchor="_bookmark92">
        <w:r>
          <w:rPr>
            <w:color w:val="6D6E71"/>
          </w:rPr>
          <w:t>Sator-</w:t>
        </w:r>
      </w:hyperlink>
      <w:r>
        <w:rPr>
          <w:color w:val="6D6E71"/>
        </w:rPr>
        <w:t> </w:t>
      </w:r>
      <w:hyperlink w:history="true" w:anchor="_bookmark92">
        <w:r>
          <w:rPr>
            <w:color w:val="6D6E71"/>
          </w:rPr>
          <w:t>Katzenschlager et al.</w:t>
        </w:r>
      </w:hyperlink>
      <w:r>
        <w:rPr>
          <w:color w:val="6D6E71"/>
        </w:rPr>
        <w:t>, </w:t>
      </w:r>
      <w:hyperlink w:history="true" w:anchor="_bookmark92">
        <w:r>
          <w:rPr>
            <w:color w:val="6D6E71"/>
          </w:rPr>
          <w:t>2004</w:t>
        </w:r>
      </w:hyperlink>
      <w:r>
        <w:rPr>
          <w:color w:val="231F20"/>
        </w:rPr>
        <w:t>). In addition, the time instance of   the stimulus with respect to inner body rhythms – such as heart beat or respiration – seems to be of high relevance. Ground- breaking experimental works in </w:t>
      </w:r>
      <w:hyperlink w:history="true" w:anchor="_bookmark18">
        <w:r>
          <w:rPr>
            <w:color w:val="6D6E71"/>
          </w:rPr>
          <w:t>Brown and Eccles</w:t>
        </w:r>
      </w:hyperlink>
      <w:r>
        <w:rPr>
          <w:color w:val="6D6E71"/>
        </w:rPr>
        <w:t> (</w:t>
      </w:r>
      <w:hyperlink w:history="true" w:anchor="_bookmark18">
        <w:r>
          <w:rPr>
            <w:color w:val="6D6E71"/>
          </w:rPr>
          <w:t>1934</w:t>
        </w:r>
      </w:hyperlink>
      <w:r>
        <w:rPr>
          <w:color w:val="6D6E71"/>
        </w:rPr>
        <w:t>) </w:t>
      </w:r>
      <w:r>
        <w:rPr>
          <w:color w:val="231F20"/>
          <w:spacing w:val="-6"/>
        </w:rPr>
        <w:t>have </w:t>
      </w:r>
      <w:r>
        <w:rPr>
          <w:color w:val="231F20"/>
        </w:rPr>
        <w:t>shown</w:t>
      </w:r>
      <w:r>
        <w:rPr>
          <w:color w:val="231F20"/>
          <w:spacing w:val="25"/>
        </w:rPr>
        <w:t> </w:t>
      </w:r>
      <w:r>
        <w:rPr>
          <w:color w:val="231F20"/>
        </w:rPr>
        <w:t>the</w:t>
      </w:r>
    </w:p>
    <w:p>
      <w:pPr>
        <w:pStyle w:val="BodyText"/>
        <w:ind w:left="116"/>
        <w:rPr>
          <w:sz w:val="20"/>
        </w:rPr>
      </w:pPr>
      <w:r>
        <w:rPr>
          <w:sz w:val="20"/>
        </w:rPr>
        <w:pict>
          <v:shape style="width:251.05pt;height:58pt;mso-position-horizontal-relative:char;mso-position-vertical-relative:line" type="#_x0000_t202" filled="true" fillcolor="#fde164" stroked="false">
            <w10:anchorlock/>
            <v:textbox inset="0,0,0,0">
              <w:txbxContent>
                <w:p>
                  <w:pPr>
                    <w:pStyle w:val="BodyText"/>
                    <w:spacing w:line="213" w:lineRule="auto" w:before="7"/>
                    <w:ind w:left="42" w:right="40"/>
                    <w:jc w:val="both"/>
                  </w:pPr>
                  <w:r>
                    <w:rPr>
                      <w:color w:val="231F20"/>
                    </w:rPr>
                    <w:t>timing between aVNS and respiration cycle was </w:t>
                  </w:r>
                  <w:r>
                    <w:rPr>
                      <w:color w:val="231F20"/>
                      <w:spacing w:val="-2"/>
                    </w:rPr>
                    <w:t>demonstrated  </w:t>
                  </w:r>
                  <w:r>
                    <w:rPr>
                      <w:color w:val="231F20"/>
                    </w:rPr>
                    <w:t>in healthy subjects (</w:t>
                  </w:r>
                  <w:hyperlink w:history="true" w:anchor="_bookmark93">
                    <w:r>
                      <w:rPr>
                        <w:color w:val="6D6E71"/>
                      </w:rPr>
                      <w:t>Sclocco et al.</w:t>
                    </w:r>
                  </w:hyperlink>
                  <w:r>
                    <w:rPr>
                      <w:color w:val="6D6E71"/>
                    </w:rPr>
                    <w:t>, </w:t>
                  </w:r>
                  <w:hyperlink w:history="true" w:anchor="_bookmark93">
                    <w:r>
                      <w:rPr>
                        <w:color w:val="6D6E71"/>
                      </w:rPr>
                      <w:t>2019</w:t>
                    </w:r>
                  </w:hyperlink>
                  <w:r>
                    <w:rPr>
                      <w:color w:val="231F20"/>
                    </w:rPr>
                    <w:t>), as well as in chronic pelvic pain (</w:t>
                  </w:r>
                  <w:hyperlink w:history="true" w:anchor="_bookmark67">
                    <w:r>
                      <w:rPr>
                        <w:color w:val="6D6E71"/>
                      </w:rPr>
                      <w:t>Napadow et al.</w:t>
                    </w:r>
                  </w:hyperlink>
                  <w:r>
                    <w:rPr>
                      <w:color w:val="6D6E71"/>
                    </w:rPr>
                    <w:t>, </w:t>
                  </w:r>
                  <w:hyperlink w:history="true" w:anchor="_bookmark67">
                    <w:r>
                      <w:rPr>
                        <w:color w:val="6D6E71"/>
                      </w:rPr>
                      <w:t>2012</w:t>
                    </w:r>
                  </w:hyperlink>
                  <w:r>
                    <w:rPr>
                      <w:color w:val="231F20"/>
                    </w:rPr>
                    <w:t>), and migraine (</w:t>
                  </w:r>
                  <w:hyperlink w:history="true" w:anchor="_bookmark34">
                    <w:r>
                      <w:rPr>
                        <w:color w:val="6D6E71"/>
                      </w:rPr>
                      <w:t>Garcia et </w:t>
                    </w:r>
                    <w:r>
                      <w:rPr>
                        <w:color w:val="6D6E71"/>
                        <w:spacing w:val="-4"/>
                      </w:rPr>
                      <w:t>al.</w:t>
                    </w:r>
                  </w:hyperlink>
                  <w:r>
                    <w:rPr>
                      <w:color w:val="6D6E71"/>
                      <w:spacing w:val="-4"/>
                    </w:rPr>
                    <w:t>, </w:t>
                  </w:r>
                  <w:hyperlink w:history="true" w:anchor="_bookmark34">
                    <w:r>
                      <w:rPr>
                        <w:color w:val="6D6E71"/>
                      </w:rPr>
                      <w:t>2017</w:t>
                    </w:r>
                  </w:hyperlink>
                  <w:r>
                    <w:rPr>
                      <w:color w:val="231F20"/>
                    </w:rPr>
                    <w:t>), showing that aVNS delivered during exhalation was  more efficient in brain, cardiovagal, and pain modulation than</w:t>
                  </w:r>
                </w:p>
              </w:txbxContent>
            </v:textbox>
            <v:fill opacity="26214f" type="solid"/>
          </v:shape>
        </w:pict>
      </w:r>
      <w:r>
        <w:rPr>
          <w:sz w:val="20"/>
        </w:rPr>
      </w:r>
    </w:p>
    <w:p>
      <w:pPr>
        <w:pStyle w:val="BodyText"/>
        <w:spacing w:line="190" w:lineRule="exact"/>
      </w:pPr>
      <w:r>
        <w:rPr/>
        <w:pict>
          <v:shape style="position:absolute;margin-left:301.521027pt;margin-top:.684498pt;width:251.05pt;height:23.6pt;mso-position-horizontal-relative:page;mso-position-vertical-relative:paragraph;z-index:-41272" coordorigin="6030,14" coordsize="5021,472" path="m11051,364l11040,297,11008,243,8361,243,8385,202,8396,135,8385,68,8353,14,6073,14,6041,68,6030,135,6041,202,6073,256,6294,256,6270,297,6260,364,6270,431,6302,485,11008,485,11040,431,11051,364e" filled="true" fillcolor="#fde164" stroked="false">
            <v:path arrowok="t"/>
            <v:fill opacity="26214f" type="solid"/>
            <w10:wrap type="none"/>
          </v:shape>
        </w:pict>
      </w:r>
      <w:r>
        <w:rPr>
          <w:color w:val="231F20"/>
        </w:rPr>
        <w:t>inspiration-gated stimulation.</w:t>
      </w:r>
    </w:p>
    <w:p>
      <w:pPr>
        <w:pStyle w:val="BodyText"/>
        <w:spacing w:line="213" w:lineRule="auto" w:before="7"/>
        <w:ind w:right="155" w:firstLine="229"/>
        <w:jc w:val="both"/>
      </w:pPr>
      <w:r>
        <w:rPr>
          <w:color w:val="231F20"/>
        </w:rPr>
        <w:t>While applying energy to the body via aVNS, electrochemical and metabolic stress factors have to be avoided (</w:t>
      </w:r>
      <w:hyperlink w:history="true" w:anchor="_bookmark48">
        <w:r>
          <w:rPr>
            <w:color w:val="6D6E71"/>
          </w:rPr>
          <w:t>Kaniusas</w:t>
        </w:r>
      </w:hyperlink>
      <w:r>
        <w:rPr>
          <w:color w:val="6D6E71"/>
        </w:rPr>
        <w:t>, </w:t>
      </w:r>
      <w:hyperlink w:history="true" w:anchor="_bookmark48">
        <w:r>
          <w:rPr>
            <w:color w:val="6D6E71"/>
          </w:rPr>
          <w:t>2019</w:t>
        </w:r>
      </w:hyperlink>
      <w:r>
        <w:rPr>
          <w:color w:val="231F20"/>
        </w:rPr>
        <w:t>). The electrochemical stress is due to irreversible electrochemical reactions at the electrode/tissue boundary, potentially </w:t>
      </w:r>
      <w:r>
        <w:rPr>
          <w:color w:val="231F20"/>
          <w:spacing w:val="-3"/>
        </w:rPr>
        <w:t>harming </w:t>
      </w:r>
      <w:r>
        <w:rPr>
          <w:color w:val="231F20"/>
        </w:rPr>
        <w:t>biological tissue, and is proportional to the absolute current level. This is in contrast to the metabolic stress as an integral stress, which is due to axonal loss and demyelination, and </w:t>
      </w:r>
      <w:r>
        <w:rPr>
          <w:color w:val="231F20"/>
          <w:spacing w:val="-7"/>
        </w:rPr>
        <w:t>is </w:t>
      </w:r>
      <w:r>
        <w:rPr>
          <w:color w:val="231F20"/>
        </w:rPr>
        <w:t>proportional to the time integral  of  the  stimulation  current.  In order to avoid irreversible electrochemical reactions, charge- balanced current stimulus is a necessary condition; </w:t>
      </w:r>
      <w:r>
        <w:rPr>
          <w:color w:val="231F20"/>
          <w:spacing w:val="-4"/>
        </w:rPr>
        <w:t>however, </w:t>
      </w:r>
      <w:r>
        <w:rPr>
          <w:color w:val="231F20"/>
        </w:rPr>
        <w:t>strictly</w:t>
      </w:r>
      <w:r>
        <w:rPr>
          <w:color w:val="231F20"/>
          <w:spacing w:val="7"/>
        </w:rPr>
        <w:t> </w:t>
      </w:r>
      <w:r>
        <w:rPr>
          <w:color w:val="231F20"/>
        </w:rPr>
        <w:t>speaking,</w:t>
      </w:r>
      <w:r>
        <w:rPr>
          <w:color w:val="231F20"/>
          <w:spacing w:val="7"/>
        </w:rPr>
        <w:t> </w:t>
      </w:r>
      <w:r>
        <w:rPr>
          <w:color w:val="231F20"/>
        </w:rPr>
        <w:t>the</w:t>
      </w:r>
      <w:r>
        <w:rPr>
          <w:color w:val="231F20"/>
          <w:spacing w:val="7"/>
        </w:rPr>
        <w:t> </w:t>
      </w:r>
      <w:r>
        <w:rPr>
          <w:color w:val="231F20"/>
        </w:rPr>
        <w:t>charge</w:t>
      </w:r>
      <w:r>
        <w:rPr>
          <w:color w:val="231F20"/>
          <w:spacing w:val="7"/>
        </w:rPr>
        <w:t> </w:t>
      </w:r>
      <w:r>
        <w:rPr>
          <w:color w:val="231F20"/>
        </w:rPr>
        <w:t>balance</w:t>
      </w:r>
      <w:r>
        <w:rPr>
          <w:color w:val="231F20"/>
          <w:spacing w:val="8"/>
        </w:rPr>
        <w:t> </w:t>
      </w:r>
      <w:r>
        <w:rPr>
          <w:color w:val="231F20"/>
        </w:rPr>
        <w:t>is</w:t>
      </w:r>
      <w:r>
        <w:rPr>
          <w:color w:val="231F20"/>
          <w:spacing w:val="7"/>
        </w:rPr>
        <w:t> </w:t>
      </w:r>
      <w:r>
        <w:rPr>
          <w:color w:val="231F20"/>
        </w:rPr>
        <w:t>not</w:t>
      </w:r>
      <w:r>
        <w:rPr>
          <w:color w:val="231F20"/>
          <w:spacing w:val="7"/>
        </w:rPr>
        <w:t> </w:t>
      </w:r>
      <w:r>
        <w:rPr>
          <w:color w:val="231F20"/>
        </w:rPr>
        <w:t>a</w:t>
      </w:r>
      <w:r>
        <w:rPr>
          <w:color w:val="231F20"/>
          <w:spacing w:val="7"/>
        </w:rPr>
        <w:t> </w:t>
      </w:r>
      <w:r>
        <w:rPr>
          <w:color w:val="231F20"/>
        </w:rPr>
        <w:t>sufficient</w:t>
      </w:r>
      <w:r>
        <w:rPr>
          <w:color w:val="231F20"/>
          <w:spacing w:val="7"/>
        </w:rPr>
        <w:t> </w:t>
      </w:r>
      <w:r>
        <w:rPr>
          <w:color w:val="231F20"/>
        </w:rPr>
        <w:t>condition</w:t>
      </w:r>
    </w:p>
    <w:p>
      <w:pPr>
        <w:spacing w:after="0" w:line="213" w:lineRule="auto"/>
        <w:jc w:val="both"/>
        <w:sectPr>
          <w:type w:val="continuous"/>
          <w:pgSz w:w="11910" w:h="15600"/>
          <w:pgMar w:top="520" w:bottom="780" w:left="740" w:right="740"/>
          <w:cols w:num="2" w:equalWidth="0">
            <w:col w:w="5095" w:space="79"/>
            <w:col w:w="5256"/>
          </w:cols>
        </w:sectPr>
      </w:pPr>
    </w:p>
    <w:p>
      <w:pPr>
        <w:pStyle w:val="BodyText"/>
        <w:spacing w:before="7"/>
        <w:ind w:left="0"/>
      </w:pPr>
    </w:p>
    <w:p>
      <w:pPr>
        <w:spacing w:after="0"/>
        <w:sectPr>
          <w:pgSz w:w="11910" w:h="15600"/>
          <w:pgMar w:header="560" w:footer="588" w:top="840" w:bottom="780" w:left="740" w:right="740"/>
        </w:sectPr>
      </w:pPr>
    </w:p>
    <w:p>
      <w:pPr>
        <w:pStyle w:val="BodyText"/>
        <w:spacing w:line="213" w:lineRule="auto" w:before="107"/>
        <w:jc w:val="both"/>
      </w:pPr>
      <w:r>
        <w:rPr>
          <w:color w:val="231F20"/>
        </w:rPr>
        <w:t>due</w:t>
      </w:r>
      <w:r>
        <w:rPr>
          <w:color w:val="231F20"/>
          <w:spacing w:val="-13"/>
        </w:rPr>
        <w:t> </w:t>
      </w:r>
      <w:r>
        <w:rPr>
          <w:color w:val="231F20"/>
        </w:rPr>
        <w:t>to</w:t>
      </w:r>
      <w:r>
        <w:rPr>
          <w:color w:val="231F20"/>
          <w:spacing w:val="-12"/>
        </w:rPr>
        <w:t> </w:t>
      </w:r>
      <w:r>
        <w:rPr>
          <w:color w:val="231F20"/>
        </w:rPr>
        <w:t>ongoing</w:t>
      </w:r>
      <w:r>
        <w:rPr>
          <w:color w:val="231F20"/>
          <w:spacing w:val="-13"/>
        </w:rPr>
        <w:t> </w:t>
      </w:r>
      <w:r>
        <w:rPr>
          <w:color w:val="231F20"/>
        </w:rPr>
        <w:t>inert</w:t>
      </w:r>
      <w:r>
        <w:rPr>
          <w:color w:val="231F20"/>
          <w:spacing w:val="-12"/>
        </w:rPr>
        <w:t> </w:t>
      </w:r>
      <w:r>
        <w:rPr>
          <w:color w:val="231F20"/>
        </w:rPr>
        <w:t>diffusion</w:t>
      </w:r>
      <w:r>
        <w:rPr>
          <w:color w:val="231F20"/>
          <w:spacing w:val="-13"/>
        </w:rPr>
        <w:t> </w:t>
      </w:r>
      <w:r>
        <w:rPr>
          <w:color w:val="231F20"/>
        </w:rPr>
        <w:t>processes</w:t>
      </w:r>
      <w:r>
        <w:rPr>
          <w:color w:val="231F20"/>
          <w:spacing w:val="-12"/>
        </w:rPr>
        <w:t> </w:t>
      </w:r>
      <w:r>
        <w:rPr>
          <w:color w:val="231F20"/>
        </w:rPr>
        <w:t>of</w:t>
      </w:r>
      <w:r>
        <w:rPr>
          <w:color w:val="231F20"/>
          <w:spacing w:val="-12"/>
        </w:rPr>
        <w:t> </w:t>
      </w:r>
      <w:r>
        <w:rPr>
          <w:color w:val="231F20"/>
        </w:rPr>
        <w:t>reactants</w:t>
      </w:r>
      <w:r>
        <w:rPr>
          <w:color w:val="231F20"/>
          <w:spacing w:val="-13"/>
        </w:rPr>
        <w:t> </w:t>
      </w:r>
      <w:r>
        <w:rPr>
          <w:color w:val="231F20"/>
        </w:rPr>
        <w:t>and</w:t>
      </w:r>
      <w:r>
        <w:rPr>
          <w:color w:val="231F20"/>
          <w:spacing w:val="-12"/>
        </w:rPr>
        <w:t> </w:t>
      </w:r>
      <w:r>
        <w:rPr>
          <w:color w:val="231F20"/>
        </w:rPr>
        <w:t>products from/to the electrode/tissue boundary (</w:t>
      </w:r>
      <w:hyperlink w:history="true" w:anchor="_bookmark48">
        <w:r>
          <w:rPr>
            <w:color w:val="6D6E71"/>
          </w:rPr>
          <w:t>Kaniusas</w:t>
        </w:r>
      </w:hyperlink>
      <w:r>
        <w:rPr>
          <w:color w:val="6D6E71"/>
        </w:rPr>
        <w:t>,</w:t>
      </w:r>
      <w:r>
        <w:rPr>
          <w:color w:val="6D6E71"/>
          <w:spacing w:val="-1"/>
        </w:rPr>
        <w:t> </w:t>
      </w:r>
      <w:hyperlink w:history="true" w:anchor="_bookmark48">
        <w:r>
          <w:rPr>
            <w:color w:val="6D6E71"/>
          </w:rPr>
          <w:t>2019</w:t>
        </w:r>
      </w:hyperlink>
      <w:r>
        <w:rPr>
          <w:color w:val="231F20"/>
        </w:rPr>
        <w:t>).</w:t>
      </w:r>
    </w:p>
    <w:p>
      <w:pPr>
        <w:pStyle w:val="BodyText"/>
        <w:spacing w:before="11"/>
        <w:ind w:left="0"/>
        <w:rPr>
          <w:sz w:val="28"/>
        </w:rPr>
      </w:pPr>
    </w:p>
    <w:p>
      <w:pPr>
        <w:pStyle w:val="Heading1"/>
        <w:spacing w:line="242" w:lineRule="auto"/>
        <w:ind w:right="208"/>
      </w:pPr>
      <w:bookmarkStart w:name="Regulatory Issues of aVns Devices" w:id="11"/>
      <w:bookmarkEnd w:id="11"/>
      <w:r>
        <w:rPr/>
      </w:r>
      <w:r>
        <w:rPr>
          <w:color w:val="231F20"/>
        </w:rPr>
        <w:t>REGULATORY ISSUES OF aVNS DEVICES</w:t>
      </w:r>
    </w:p>
    <w:p>
      <w:pPr>
        <w:pStyle w:val="BodyText"/>
        <w:spacing w:line="213" w:lineRule="auto" w:before="202"/>
        <w:jc w:val="both"/>
      </w:pPr>
      <w:r>
        <w:rPr>
          <w:color w:val="231F20"/>
        </w:rPr>
        <w:t>Bringing a medical device, like an aVNS device, on the market comes along with many requirements since the medical </w:t>
      </w:r>
      <w:r>
        <w:rPr>
          <w:color w:val="231F20"/>
          <w:spacing w:val="-3"/>
        </w:rPr>
        <w:t>device </w:t>
      </w:r>
      <w:r>
        <w:rPr>
          <w:color w:val="231F20"/>
        </w:rPr>
        <w:t>market is highly regulated. Requirements encompass </w:t>
      </w:r>
      <w:r>
        <w:rPr>
          <w:color w:val="231F20"/>
          <w:spacing w:val="-3"/>
        </w:rPr>
        <w:t>research </w:t>
      </w:r>
      <w:r>
        <w:rPr>
          <w:color w:val="231F20"/>
        </w:rPr>
        <w:t>and engineering issues, clinical studies, regulatory and </w:t>
      </w:r>
      <w:r>
        <w:rPr>
          <w:color w:val="231F20"/>
          <w:spacing w:val="-3"/>
        </w:rPr>
        <w:t>business </w:t>
      </w:r>
      <w:r>
        <w:rPr>
          <w:color w:val="231F20"/>
        </w:rPr>
        <w:t>issues.</w:t>
      </w:r>
      <w:r>
        <w:rPr>
          <w:color w:val="231F20"/>
          <w:spacing w:val="-5"/>
        </w:rPr>
        <w:t> </w:t>
      </w:r>
      <w:r>
        <w:rPr>
          <w:color w:val="231F20"/>
        </w:rPr>
        <w:t>Even</w:t>
      </w:r>
      <w:r>
        <w:rPr>
          <w:color w:val="231F20"/>
          <w:spacing w:val="-5"/>
        </w:rPr>
        <w:t> </w:t>
      </w:r>
      <w:r>
        <w:rPr>
          <w:color w:val="231F20"/>
        </w:rPr>
        <w:t>though</w:t>
      </w:r>
      <w:r>
        <w:rPr>
          <w:color w:val="231F20"/>
          <w:spacing w:val="-5"/>
        </w:rPr>
        <w:t> </w:t>
      </w:r>
      <w:r>
        <w:rPr>
          <w:color w:val="231F20"/>
        </w:rPr>
        <w:t>these</w:t>
      </w:r>
      <w:r>
        <w:rPr>
          <w:color w:val="231F20"/>
          <w:spacing w:val="-4"/>
        </w:rPr>
        <w:t> </w:t>
      </w:r>
      <w:r>
        <w:rPr>
          <w:color w:val="231F20"/>
        </w:rPr>
        <w:t>requirements</w:t>
      </w:r>
      <w:r>
        <w:rPr>
          <w:color w:val="231F20"/>
          <w:spacing w:val="-5"/>
        </w:rPr>
        <w:t> </w:t>
      </w:r>
      <w:r>
        <w:rPr>
          <w:color w:val="231F20"/>
        </w:rPr>
        <w:t>vary</w:t>
      </w:r>
      <w:r>
        <w:rPr>
          <w:color w:val="231F20"/>
          <w:spacing w:val="-5"/>
        </w:rPr>
        <w:t> </w:t>
      </w:r>
      <w:r>
        <w:rPr>
          <w:color w:val="231F20"/>
        </w:rPr>
        <w:t>for</w:t>
      </w:r>
      <w:r>
        <w:rPr>
          <w:color w:val="231F20"/>
          <w:spacing w:val="-5"/>
        </w:rPr>
        <w:t> </w:t>
      </w:r>
      <w:r>
        <w:rPr>
          <w:color w:val="231F20"/>
        </w:rPr>
        <w:t>different</w:t>
      </w:r>
      <w:r>
        <w:rPr>
          <w:color w:val="231F20"/>
          <w:spacing w:val="-4"/>
        </w:rPr>
        <w:t> </w:t>
      </w:r>
      <w:r>
        <w:rPr>
          <w:color w:val="231F20"/>
        </w:rPr>
        <w:t>types</w:t>
      </w:r>
      <w:r>
        <w:rPr>
          <w:color w:val="231F20"/>
          <w:spacing w:val="-5"/>
        </w:rPr>
        <w:t> </w:t>
      </w:r>
      <w:r>
        <w:rPr>
          <w:color w:val="231F20"/>
          <w:spacing w:val="-6"/>
        </w:rPr>
        <w:t>of </w:t>
      </w:r>
      <w:r>
        <w:rPr>
          <w:color w:val="231F20"/>
        </w:rPr>
        <w:t>stimulators, common regulatory requirements apply for all </w:t>
      </w:r>
      <w:r>
        <w:rPr>
          <w:color w:val="231F20"/>
          <w:spacing w:val="-4"/>
        </w:rPr>
        <w:t>types </w:t>
      </w:r>
      <w:r>
        <w:rPr>
          <w:color w:val="231F20"/>
        </w:rPr>
        <w:t>of</w:t>
      </w:r>
      <w:r>
        <w:rPr>
          <w:color w:val="231F20"/>
          <w:spacing w:val="-8"/>
        </w:rPr>
        <w:t> </w:t>
      </w:r>
      <w:r>
        <w:rPr>
          <w:color w:val="231F20"/>
        </w:rPr>
        <w:t>aVNS</w:t>
      </w:r>
      <w:r>
        <w:rPr>
          <w:color w:val="231F20"/>
          <w:spacing w:val="-8"/>
        </w:rPr>
        <w:t> </w:t>
      </w:r>
      <w:r>
        <w:rPr>
          <w:color w:val="231F20"/>
        </w:rPr>
        <w:t>devices</w:t>
      </w:r>
      <w:r>
        <w:rPr>
          <w:color w:val="231F20"/>
          <w:spacing w:val="-8"/>
        </w:rPr>
        <w:t> </w:t>
      </w:r>
      <w:r>
        <w:rPr>
          <w:color w:val="231F20"/>
        </w:rPr>
        <w:t>and</w:t>
      </w:r>
      <w:r>
        <w:rPr>
          <w:color w:val="231F20"/>
          <w:spacing w:val="-8"/>
        </w:rPr>
        <w:t> </w:t>
      </w:r>
      <w:r>
        <w:rPr>
          <w:color w:val="231F20"/>
        </w:rPr>
        <w:t>thus</w:t>
      </w:r>
      <w:r>
        <w:rPr>
          <w:color w:val="231F20"/>
          <w:spacing w:val="-8"/>
        </w:rPr>
        <w:t> </w:t>
      </w:r>
      <w:r>
        <w:rPr>
          <w:color w:val="231F20"/>
        </w:rPr>
        <w:t>deserve</w:t>
      </w:r>
      <w:r>
        <w:rPr>
          <w:color w:val="231F20"/>
          <w:spacing w:val="-8"/>
        </w:rPr>
        <w:t> </w:t>
      </w:r>
      <w:r>
        <w:rPr>
          <w:color w:val="231F20"/>
        </w:rPr>
        <w:t>a</w:t>
      </w:r>
      <w:r>
        <w:rPr>
          <w:color w:val="231F20"/>
          <w:spacing w:val="-8"/>
        </w:rPr>
        <w:t> </w:t>
      </w:r>
      <w:r>
        <w:rPr>
          <w:color w:val="231F20"/>
        </w:rPr>
        <w:t>short</w:t>
      </w:r>
      <w:r>
        <w:rPr>
          <w:color w:val="231F20"/>
          <w:spacing w:val="-8"/>
        </w:rPr>
        <w:t> </w:t>
      </w:r>
      <w:r>
        <w:rPr>
          <w:color w:val="231F20"/>
        </w:rPr>
        <w:t>overview.</w:t>
      </w:r>
      <w:r>
        <w:rPr>
          <w:color w:val="231F20"/>
          <w:spacing w:val="-8"/>
        </w:rPr>
        <w:t> </w:t>
      </w:r>
      <w:r>
        <w:rPr>
          <w:color w:val="231F20"/>
        </w:rPr>
        <w:t>Here</w:t>
      </w:r>
      <w:r>
        <w:rPr>
          <w:color w:val="231F20"/>
          <w:spacing w:val="-8"/>
        </w:rPr>
        <w:t> </w:t>
      </w:r>
      <w:r>
        <w:rPr>
          <w:color w:val="231F20"/>
        </w:rPr>
        <w:t>we</w:t>
      </w:r>
      <w:r>
        <w:rPr>
          <w:color w:val="231F20"/>
          <w:spacing w:val="-8"/>
        </w:rPr>
        <w:t> </w:t>
      </w:r>
      <w:r>
        <w:rPr>
          <w:color w:val="231F20"/>
          <w:spacing w:val="-3"/>
        </w:rPr>
        <w:t>focus </w:t>
      </w:r>
      <w:r>
        <w:rPr>
          <w:color w:val="231F20"/>
        </w:rPr>
        <w:t>on EU guidelines and do not intend to cover global regulatory issues because of their</w:t>
      </w:r>
      <w:r>
        <w:rPr>
          <w:color w:val="231F20"/>
          <w:spacing w:val="-1"/>
        </w:rPr>
        <w:t> </w:t>
      </w:r>
      <w:r>
        <w:rPr>
          <w:color w:val="231F20"/>
        </w:rPr>
        <w:t>diversity.</w:t>
      </w:r>
    </w:p>
    <w:p>
      <w:pPr>
        <w:pStyle w:val="BodyText"/>
        <w:spacing w:line="213" w:lineRule="auto" w:before="9"/>
        <w:ind w:firstLine="229"/>
        <w:jc w:val="both"/>
      </w:pPr>
      <w:r>
        <w:rPr>
          <w:color w:val="231F20"/>
        </w:rPr>
        <w:t>The medical device directive EU 93/42/EEC is the basis regulatory document for the required CE certification of </w:t>
      </w:r>
      <w:r>
        <w:rPr>
          <w:color w:val="231F20"/>
          <w:spacing w:val="-3"/>
        </w:rPr>
        <w:t>aVNS </w:t>
      </w:r>
      <w:r>
        <w:rPr>
          <w:color w:val="231F20"/>
        </w:rPr>
        <w:t>devices in </w:t>
      </w:r>
      <w:r>
        <w:rPr>
          <w:color w:val="231F20"/>
          <w:spacing w:val="-5"/>
        </w:rPr>
        <w:t>EU, </w:t>
      </w:r>
      <w:r>
        <w:rPr>
          <w:color w:val="231F20"/>
        </w:rPr>
        <w:t>for monitoring and reporting requirements  </w:t>
      </w:r>
      <w:r>
        <w:rPr>
          <w:color w:val="231F20"/>
          <w:spacing w:val="-10"/>
        </w:rPr>
        <w:t>as </w:t>
      </w:r>
      <w:r>
        <w:rPr>
          <w:color w:val="231F20"/>
        </w:rPr>
        <w:t>well as registration duties of manufacturer. A new regulatory framework, the Medical Device Regulation EU 2017/745 </w:t>
      </w:r>
      <w:r>
        <w:rPr>
          <w:color w:val="231F20"/>
          <w:spacing w:val="-7"/>
        </w:rPr>
        <w:t>was </w:t>
      </w:r>
      <w:r>
        <w:rPr>
          <w:color w:val="231F20"/>
        </w:rPr>
        <w:t>released in 2017 and will only apply in spring 2020 after a transition period. In fact, CE certification is the trading </w:t>
      </w:r>
      <w:r>
        <w:rPr>
          <w:color w:val="231F20"/>
          <w:spacing w:val="-3"/>
        </w:rPr>
        <w:t>passport </w:t>
      </w:r>
      <w:r>
        <w:rPr>
          <w:color w:val="231F20"/>
        </w:rPr>
        <w:t>in EU and European free trade association countries.  </w:t>
      </w:r>
      <w:r>
        <w:rPr>
          <w:color w:val="231F20"/>
          <w:spacing w:val="-5"/>
        </w:rPr>
        <w:t>The  </w:t>
      </w:r>
      <w:r>
        <w:rPr>
          <w:color w:val="231F20"/>
        </w:rPr>
        <w:t>typical path for CE marking according to EU 93/42/EEC </w:t>
      </w:r>
      <w:r>
        <w:rPr>
          <w:color w:val="231F20"/>
          <w:spacing w:val="-8"/>
        </w:rPr>
        <w:t>is </w:t>
      </w:r>
      <w:r>
        <w:rPr>
          <w:color w:val="231F20"/>
        </w:rPr>
        <w:t>illustrated in </w:t>
      </w:r>
      <w:hyperlink w:history="true" w:anchor="_bookmark3">
        <w:r>
          <w:rPr>
            <w:b/>
            <w:color w:val="231F20"/>
          </w:rPr>
          <w:t>Figure</w:t>
        </w:r>
        <w:r>
          <w:rPr>
            <w:b/>
            <w:color w:val="231F20"/>
            <w:spacing w:val="-1"/>
          </w:rPr>
          <w:t> </w:t>
        </w:r>
        <w:r>
          <w:rPr>
            <w:b/>
            <w:color w:val="231F20"/>
          </w:rPr>
          <w:t>3</w:t>
        </w:r>
      </w:hyperlink>
      <w:r>
        <w:rPr>
          <w:color w:val="231F20"/>
        </w:rPr>
        <w:t>.</w:t>
      </w:r>
    </w:p>
    <w:p>
      <w:pPr>
        <w:pStyle w:val="BodyText"/>
        <w:spacing w:line="213" w:lineRule="auto" w:before="4"/>
        <w:ind w:firstLine="229"/>
        <w:jc w:val="both"/>
      </w:pPr>
      <w:r>
        <w:rPr>
          <w:color w:val="231F20"/>
        </w:rPr>
        <w:t>Auricular vagus nerve stimulation device has to meet </w:t>
      </w:r>
      <w:r>
        <w:rPr>
          <w:color w:val="231F20"/>
          <w:spacing w:val="-4"/>
        </w:rPr>
        <w:t>the </w:t>
      </w:r>
      <w:r>
        <w:rPr>
          <w:color w:val="231F20"/>
        </w:rPr>
        <w:t>essential requirements of the directive and fulfill the selected conformity assessment, which depends on the risk classification of aVNS device. The applicable risk classification specifies the quality management system that has to be implemented </w:t>
      </w:r>
      <w:r>
        <w:rPr>
          <w:color w:val="231F20"/>
          <w:spacing w:val="-9"/>
        </w:rPr>
        <w:t>by </w:t>
      </w:r>
      <w:r>
        <w:rPr>
          <w:color w:val="231F20"/>
        </w:rPr>
        <w:t>manufacturer and the necessity of a notified body to control   the conformity. In particular, a percutaneous aVNS device </w:t>
      </w:r>
      <w:r>
        <w:rPr>
          <w:color w:val="231F20"/>
          <w:spacing w:val="-5"/>
        </w:rPr>
        <w:t>can </w:t>
      </w:r>
      <w:r>
        <w:rPr>
          <w:color w:val="231F20"/>
        </w:rPr>
        <w:t>be classified as “short term” (application for less than 30 days), “surgically invasive” (due to needle electrodes in the ear), </w:t>
      </w:r>
      <w:r>
        <w:rPr>
          <w:color w:val="231F20"/>
          <w:spacing w:val="-4"/>
        </w:rPr>
        <w:t>and </w:t>
      </w:r>
      <w:r>
        <w:rPr>
          <w:color w:val="231F20"/>
        </w:rPr>
        <w:t>“active therapeutical” device (stimulation energy is applied), which implies that it is a Class IIa medical product. The following conformity assessment procedures are available </w:t>
      </w:r>
      <w:r>
        <w:rPr>
          <w:color w:val="231F20"/>
          <w:spacing w:val="-5"/>
        </w:rPr>
        <w:t>for </w:t>
      </w:r>
      <w:r>
        <w:rPr>
          <w:color w:val="231F20"/>
        </w:rPr>
        <w:t>manufacturers for a Class IIa product: (i) verification of </w:t>
      </w:r>
      <w:r>
        <w:rPr>
          <w:color w:val="231F20"/>
          <w:spacing w:val="-3"/>
        </w:rPr>
        <w:t>every </w:t>
      </w:r>
      <w:r>
        <w:rPr>
          <w:color w:val="231F20"/>
        </w:rPr>
        <w:t>device or a random sample of devices by the notified</w:t>
      </w:r>
      <w:r>
        <w:rPr>
          <w:color w:val="231F20"/>
          <w:spacing w:val="38"/>
        </w:rPr>
        <w:t> </w:t>
      </w:r>
      <w:r>
        <w:rPr>
          <w:color w:val="231F20"/>
          <w:spacing w:val="-3"/>
        </w:rPr>
        <w:t>body,</w:t>
      </w:r>
    </w:p>
    <w:p>
      <w:pPr>
        <w:pStyle w:val="BodyText"/>
        <w:spacing w:line="213" w:lineRule="auto" w:before="15"/>
        <w:jc w:val="both"/>
      </w:pPr>
      <w:r>
        <w:rPr>
          <w:color w:val="231F20"/>
        </w:rPr>
        <w:t>(ii) production quality assurance, (iii) product quality </w:t>
      </w:r>
      <w:r>
        <w:rPr>
          <w:color w:val="231F20"/>
          <w:spacing w:val="-3"/>
        </w:rPr>
        <w:t>assurance, </w:t>
      </w:r>
      <w:r>
        <w:rPr>
          <w:color w:val="231F20"/>
        </w:rPr>
        <w:t>and/or (iv) a full quality assurance</w:t>
      </w:r>
      <w:r>
        <w:rPr>
          <w:color w:val="231F20"/>
          <w:spacing w:val="-1"/>
        </w:rPr>
        <w:t> </w:t>
      </w:r>
      <w:r>
        <w:rPr>
          <w:color w:val="231F20"/>
        </w:rPr>
        <w:t>system.</w:t>
      </w:r>
    </w:p>
    <w:p>
      <w:pPr>
        <w:pStyle w:val="BodyText"/>
        <w:spacing w:line="213" w:lineRule="auto" w:before="2"/>
        <w:ind w:firstLine="229"/>
        <w:jc w:val="both"/>
      </w:pPr>
      <w:r>
        <w:rPr>
          <w:color w:val="231F20"/>
        </w:rPr>
        <w:t>The implementation of a risk management system </w:t>
      </w:r>
      <w:r>
        <w:rPr>
          <w:color w:val="231F20"/>
          <w:spacing w:val="-7"/>
        </w:rPr>
        <w:t>is </w:t>
      </w:r>
      <w:r>
        <w:rPr>
          <w:color w:val="231F20"/>
        </w:rPr>
        <w:t>mandatory, accompanies the whole life cycle of any </w:t>
      </w:r>
      <w:r>
        <w:rPr>
          <w:color w:val="231F20"/>
          <w:spacing w:val="-3"/>
        </w:rPr>
        <w:t>aVNS </w:t>
      </w:r>
      <w:r>
        <w:rPr>
          <w:color w:val="231F20"/>
        </w:rPr>
        <w:t>product, and serves  as  the  input  for  development,  </w:t>
      </w:r>
      <w:r>
        <w:rPr>
          <w:color w:val="231F20"/>
          <w:spacing w:val="-3"/>
        </w:rPr>
        <w:t>design,  </w:t>
      </w:r>
      <w:r>
        <w:rPr>
          <w:color w:val="231F20"/>
        </w:rPr>
        <w:t>and manufacturing of aVNS device. For instance, the </w:t>
      </w:r>
      <w:r>
        <w:rPr>
          <w:color w:val="231F20"/>
          <w:spacing w:val="-3"/>
        </w:rPr>
        <w:t>risk </w:t>
      </w:r>
      <w:r>
        <w:rPr>
          <w:color w:val="231F20"/>
        </w:rPr>
        <w:t>management should guarantee that the exchange of energy with the</w:t>
      </w:r>
      <w:r>
        <w:rPr>
          <w:color w:val="231F20"/>
          <w:spacing w:val="-5"/>
        </w:rPr>
        <w:t> </w:t>
      </w:r>
      <w:r>
        <w:rPr>
          <w:color w:val="231F20"/>
        </w:rPr>
        <w:t>human</w:t>
      </w:r>
      <w:r>
        <w:rPr>
          <w:color w:val="231F20"/>
          <w:spacing w:val="-5"/>
        </w:rPr>
        <w:t> </w:t>
      </w:r>
      <w:r>
        <w:rPr>
          <w:color w:val="231F20"/>
        </w:rPr>
        <w:t>body</w:t>
      </w:r>
      <w:r>
        <w:rPr>
          <w:color w:val="231F20"/>
          <w:spacing w:val="-4"/>
        </w:rPr>
        <w:t> </w:t>
      </w:r>
      <w:r>
        <w:rPr>
          <w:color w:val="231F20"/>
        </w:rPr>
        <w:t>is</w:t>
      </w:r>
      <w:r>
        <w:rPr>
          <w:color w:val="231F20"/>
          <w:spacing w:val="-5"/>
        </w:rPr>
        <w:t> </w:t>
      </w:r>
      <w:r>
        <w:rPr>
          <w:color w:val="231F20"/>
        </w:rPr>
        <w:t>not</w:t>
      </w:r>
      <w:r>
        <w:rPr>
          <w:color w:val="231F20"/>
          <w:spacing w:val="-5"/>
        </w:rPr>
        <w:t> </w:t>
      </w:r>
      <w:r>
        <w:rPr>
          <w:color w:val="231F20"/>
        </w:rPr>
        <w:t>hazardous,</w:t>
      </w:r>
      <w:r>
        <w:rPr>
          <w:color w:val="231F20"/>
          <w:spacing w:val="-4"/>
        </w:rPr>
        <w:t> </w:t>
      </w:r>
      <w:r>
        <w:rPr>
          <w:color w:val="231F20"/>
        </w:rPr>
        <w:t>taking</w:t>
      </w:r>
      <w:r>
        <w:rPr>
          <w:color w:val="231F20"/>
          <w:spacing w:val="-5"/>
        </w:rPr>
        <w:t> </w:t>
      </w:r>
      <w:r>
        <w:rPr>
          <w:color w:val="231F20"/>
        </w:rPr>
        <w:t>into</w:t>
      </w:r>
      <w:r>
        <w:rPr>
          <w:color w:val="231F20"/>
          <w:spacing w:val="-5"/>
        </w:rPr>
        <w:t> </w:t>
      </w:r>
      <w:r>
        <w:rPr>
          <w:color w:val="231F20"/>
        </w:rPr>
        <w:t>account</w:t>
      </w:r>
      <w:r>
        <w:rPr>
          <w:color w:val="231F20"/>
          <w:spacing w:val="-4"/>
        </w:rPr>
        <w:t> </w:t>
      </w:r>
      <w:r>
        <w:rPr>
          <w:color w:val="231F20"/>
        </w:rPr>
        <w:t>the</w:t>
      </w:r>
      <w:r>
        <w:rPr>
          <w:color w:val="231F20"/>
          <w:spacing w:val="-5"/>
        </w:rPr>
        <w:t> </w:t>
      </w:r>
      <w:r>
        <w:rPr>
          <w:color w:val="231F20"/>
          <w:spacing w:val="-3"/>
        </w:rPr>
        <w:t>nature, </w:t>
      </w:r>
      <w:r>
        <w:rPr>
          <w:color w:val="231F20"/>
        </w:rPr>
        <w:t>the density, and the site of the energy application. In addition, </w:t>
      </w:r>
      <w:r>
        <w:rPr>
          <w:color w:val="231F20"/>
          <w:spacing w:val="-11"/>
        </w:rPr>
        <w:t>a </w:t>
      </w:r>
      <w:r>
        <w:rPr>
          <w:color w:val="231F20"/>
        </w:rPr>
        <w:t>usability engineering process needs to be established to assess</w:t>
      </w:r>
      <w:r>
        <w:rPr>
          <w:color w:val="231F20"/>
          <w:spacing w:val="-28"/>
        </w:rPr>
        <w:t> </w:t>
      </w:r>
      <w:r>
        <w:rPr>
          <w:color w:val="231F20"/>
        </w:rPr>
        <w:t>the usability and possible use errors already during the development of aVNS, which is important for the final validation of aVNS device within the intended use or patients.</w:t>
      </w:r>
    </w:p>
    <w:p>
      <w:pPr>
        <w:pStyle w:val="BodyText"/>
        <w:spacing w:line="213" w:lineRule="auto" w:before="11"/>
        <w:ind w:firstLine="229"/>
        <w:jc w:val="both"/>
      </w:pPr>
      <w:r>
        <w:rPr>
          <w:color w:val="231F20"/>
        </w:rPr>
        <w:t>For state-of-the-art development and safety of aVNS device and its conformance with essential requirements, </w:t>
      </w:r>
      <w:r>
        <w:rPr>
          <w:color w:val="231F20"/>
          <w:spacing w:val="-3"/>
        </w:rPr>
        <w:t>harmonized </w:t>
      </w:r>
      <w:r>
        <w:rPr>
          <w:color w:val="231F20"/>
        </w:rPr>
        <w:t>EU standards and guidelines shall be followed.  </w:t>
      </w:r>
      <w:r>
        <w:rPr>
          <w:color w:val="231F20"/>
          <w:spacing w:val="-3"/>
        </w:rPr>
        <w:t>Standards </w:t>
      </w:r>
      <w:r>
        <w:rPr>
          <w:color w:val="231F20"/>
        </w:rPr>
        <w:t>include</w:t>
      </w:r>
      <w:r>
        <w:rPr>
          <w:color w:val="231F20"/>
          <w:spacing w:val="33"/>
        </w:rPr>
        <w:t> </w:t>
      </w:r>
      <w:r>
        <w:rPr>
          <w:color w:val="231F20"/>
        </w:rPr>
        <w:t>EN</w:t>
      </w:r>
      <w:r>
        <w:rPr>
          <w:color w:val="231F20"/>
          <w:spacing w:val="33"/>
        </w:rPr>
        <w:t> </w:t>
      </w:r>
      <w:r>
        <w:rPr>
          <w:color w:val="231F20"/>
        </w:rPr>
        <w:t>ISO</w:t>
      </w:r>
      <w:r>
        <w:rPr>
          <w:color w:val="231F20"/>
          <w:spacing w:val="34"/>
        </w:rPr>
        <w:t> </w:t>
      </w:r>
      <w:r>
        <w:rPr>
          <w:color w:val="231F20"/>
        </w:rPr>
        <w:t>14971</w:t>
      </w:r>
      <w:r>
        <w:rPr>
          <w:color w:val="231F20"/>
          <w:spacing w:val="33"/>
        </w:rPr>
        <w:t> </w:t>
      </w:r>
      <w:r>
        <w:rPr>
          <w:color w:val="231F20"/>
        </w:rPr>
        <w:t>(for</w:t>
      </w:r>
      <w:r>
        <w:rPr>
          <w:color w:val="231F20"/>
          <w:spacing w:val="33"/>
        </w:rPr>
        <w:t> </w:t>
      </w:r>
      <w:r>
        <w:rPr>
          <w:color w:val="231F20"/>
        </w:rPr>
        <w:t>risk</w:t>
      </w:r>
      <w:r>
        <w:rPr>
          <w:color w:val="231F20"/>
          <w:spacing w:val="34"/>
        </w:rPr>
        <w:t> </w:t>
      </w:r>
      <w:r>
        <w:rPr>
          <w:color w:val="231F20"/>
        </w:rPr>
        <w:t>management),</w:t>
      </w:r>
      <w:r>
        <w:rPr>
          <w:color w:val="231F20"/>
          <w:spacing w:val="33"/>
        </w:rPr>
        <w:t> </w:t>
      </w:r>
      <w:r>
        <w:rPr>
          <w:color w:val="231F20"/>
        </w:rPr>
        <w:t>EN</w:t>
      </w:r>
      <w:r>
        <w:rPr>
          <w:color w:val="231F20"/>
          <w:spacing w:val="33"/>
        </w:rPr>
        <w:t> </w:t>
      </w:r>
      <w:r>
        <w:rPr>
          <w:color w:val="231F20"/>
        </w:rPr>
        <w:t>ISO</w:t>
      </w:r>
      <w:r>
        <w:rPr>
          <w:color w:val="231F20"/>
          <w:spacing w:val="34"/>
        </w:rPr>
        <w:t> </w:t>
      </w:r>
      <w:r>
        <w:rPr>
          <w:color w:val="231F20"/>
          <w:spacing w:val="-4"/>
        </w:rPr>
        <w:t>13485</w:t>
      </w:r>
    </w:p>
    <w:p>
      <w:pPr>
        <w:pStyle w:val="BodyText"/>
        <w:spacing w:line="213" w:lineRule="auto" w:before="107"/>
        <w:ind w:right="155"/>
        <w:jc w:val="both"/>
      </w:pPr>
      <w:r>
        <w:rPr/>
        <w:br w:type="column"/>
      </w:r>
      <w:r>
        <w:rPr>
          <w:color w:val="231F20"/>
        </w:rPr>
        <w:t>(implementation of quality management system), EN 60601-1 including collateral standards (medical device basic safety and essential performance), EN 62366-1 (usability  engineering),  and EN 62304 (medical device software). Guidelines include MEDDEV 2.7/1 (for specification of a proper clinical evaluation) as well as MEDDEV 2.12-1 and MEDDEV 2.12/2 (market surveillance and vigilance). Many guidelines have </w:t>
      </w:r>
      <w:r>
        <w:rPr>
          <w:color w:val="231F20"/>
          <w:spacing w:val="-4"/>
        </w:rPr>
        <w:t>been </w:t>
      </w:r>
      <w:r>
        <w:rPr>
          <w:color w:val="231F20"/>
        </w:rPr>
        <w:t>implemented  within  the  new  Medical  Device  Regulation   and thus are now obligatory. Since aVNS device is body worn   in home healthcare environments, additional requirements </w:t>
      </w:r>
      <w:r>
        <w:rPr>
          <w:color w:val="231F20"/>
          <w:spacing w:val="-4"/>
        </w:rPr>
        <w:t>and </w:t>
      </w:r>
      <w:r>
        <w:rPr>
          <w:color w:val="231F20"/>
        </w:rPr>
        <w:t>limitations arise. Further requirements come from the required traceability</w:t>
      </w:r>
      <w:r>
        <w:rPr>
          <w:color w:val="231F20"/>
          <w:spacing w:val="-9"/>
        </w:rPr>
        <w:t> </w:t>
      </w:r>
      <w:r>
        <w:rPr>
          <w:color w:val="231F20"/>
        </w:rPr>
        <w:t>and</w:t>
      </w:r>
      <w:r>
        <w:rPr>
          <w:color w:val="231F20"/>
          <w:spacing w:val="-9"/>
        </w:rPr>
        <w:t> </w:t>
      </w:r>
      <w:r>
        <w:rPr>
          <w:color w:val="231F20"/>
        </w:rPr>
        <w:t>post-market</w:t>
      </w:r>
      <w:r>
        <w:rPr>
          <w:color w:val="231F20"/>
          <w:spacing w:val="-8"/>
        </w:rPr>
        <w:t> </w:t>
      </w:r>
      <w:r>
        <w:rPr>
          <w:color w:val="231F20"/>
        </w:rPr>
        <w:t>surveillance</w:t>
      </w:r>
      <w:r>
        <w:rPr>
          <w:color w:val="231F20"/>
          <w:spacing w:val="-9"/>
        </w:rPr>
        <w:t> </w:t>
      </w:r>
      <w:r>
        <w:rPr>
          <w:color w:val="231F20"/>
        </w:rPr>
        <w:t>that</w:t>
      </w:r>
      <w:r>
        <w:rPr>
          <w:color w:val="231F20"/>
          <w:spacing w:val="-8"/>
        </w:rPr>
        <w:t> </w:t>
      </w:r>
      <w:r>
        <w:rPr>
          <w:color w:val="231F20"/>
        </w:rPr>
        <w:t>must</w:t>
      </w:r>
      <w:r>
        <w:rPr>
          <w:color w:val="231F20"/>
          <w:spacing w:val="-9"/>
        </w:rPr>
        <w:t> </w:t>
      </w:r>
      <w:r>
        <w:rPr>
          <w:color w:val="231F20"/>
        </w:rPr>
        <w:t>be</w:t>
      </w:r>
      <w:r>
        <w:rPr>
          <w:color w:val="231F20"/>
          <w:spacing w:val="-9"/>
        </w:rPr>
        <w:t> </w:t>
      </w:r>
      <w:r>
        <w:rPr>
          <w:color w:val="231F20"/>
        </w:rPr>
        <w:t>established to fulfill vigilance duties. National deviations in </w:t>
      </w:r>
      <w:r>
        <w:rPr>
          <w:color w:val="231F20"/>
          <w:spacing w:val="-2"/>
        </w:rPr>
        <w:t>requirements </w:t>
      </w:r>
      <w:r>
        <w:rPr>
          <w:color w:val="231F20"/>
        </w:rPr>
        <w:t>have to be considered when marketing</w:t>
      </w:r>
      <w:r>
        <w:rPr>
          <w:color w:val="231F20"/>
          <w:spacing w:val="-1"/>
        </w:rPr>
        <w:t> </w:t>
      </w:r>
      <w:r>
        <w:rPr>
          <w:color w:val="231F20"/>
        </w:rPr>
        <w:t>aVNS.</w:t>
      </w:r>
    </w:p>
    <w:p>
      <w:pPr>
        <w:pStyle w:val="BodyText"/>
        <w:spacing w:line="213" w:lineRule="auto" w:before="14"/>
        <w:ind w:right="155" w:firstLine="229"/>
        <w:jc w:val="both"/>
      </w:pPr>
      <w:r>
        <w:rPr>
          <w:color w:val="231F20"/>
        </w:rPr>
        <w:t>For the certification procedure and  clinical  safety,  </w:t>
      </w:r>
      <w:r>
        <w:rPr>
          <w:color w:val="231F20"/>
          <w:spacing w:val="-13"/>
        </w:rPr>
        <w:t>a  </w:t>
      </w:r>
      <w:r>
        <w:rPr>
          <w:color w:val="231F20"/>
        </w:rPr>
        <w:t>rigorous clinical evaluation of aVNS device must be prepared and regularly revised, including clinical studies and/or </w:t>
      </w:r>
      <w:r>
        <w:rPr>
          <w:color w:val="231F20"/>
          <w:spacing w:val="-13"/>
        </w:rPr>
        <w:t>a </w:t>
      </w:r>
      <w:r>
        <w:rPr>
          <w:color w:val="231F20"/>
        </w:rPr>
        <w:t>systematic literature review. Clinical evaluation can also </w:t>
      </w:r>
      <w:r>
        <w:rPr>
          <w:color w:val="231F20"/>
          <w:spacing w:val="-6"/>
        </w:rPr>
        <w:t>be  </w:t>
      </w:r>
      <w:r>
        <w:rPr>
          <w:color w:val="231F20"/>
        </w:rPr>
        <w:t>based on equivalent and predicate devices, proving</w:t>
      </w:r>
      <w:r>
        <w:rPr>
          <w:color w:val="231F20"/>
          <w:spacing w:val="26"/>
        </w:rPr>
        <w:t> </w:t>
      </w:r>
      <w:r>
        <w:rPr>
          <w:color w:val="231F20"/>
        </w:rPr>
        <w:t>technical, biological, and clinical equivalence  with  supporting  data  </w:t>
      </w:r>
      <w:r>
        <w:rPr>
          <w:color w:val="231F20"/>
          <w:spacing w:val="-4"/>
        </w:rPr>
        <w:t>for</w:t>
      </w:r>
      <w:r>
        <w:rPr>
          <w:color w:val="231F20"/>
          <w:spacing w:val="35"/>
        </w:rPr>
        <w:t> </w:t>
      </w:r>
      <w:r>
        <w:rPr>
          <w:color w:val="231F20"/>
        </w:rPr>
        <w:t>all clinical  claims  made.  However,  showing  the  conformity  by equivalence is getting less accepted. This can cause  high  costs and delayed market entrance due to the necessity </w:t>
      </w:r>
      <w:r>
        <w:rPr>
          <w:color w:val="231F20"/>
          <w:spacing w:val="-6"/>
        </w:rPr>
        <w:t>of </w:t>
      </w:r>
      <w:r>
        <w:rPr>
          <w:color w:val="231F20"/>
        </w:rPr>
        <w:t>extensive clinical trials for  each  new  derivative  of  </w:t>
      </w:r>
      <w:r>
        <w:rPr>
          <w:color w:val="231F20"/>
          <w:spacing w:val="-3"/>
        </w:rPr>
        <w:t>aVNS </w:t>
      </w:r>
      <w:r>
        <w:rPr>
          <w:color w:val="231F20"/>
        </w:rPr>
        <w:t>device. A post-market  clinical  follow  up  plan  is  required.  Side effects must be  studied;  for  instance,  the  cardiac  safety  of  the  transcutaneous  aVNS   was   investigated   in   </w:t>
      </w:r>
      <w:hyperlink w:history="true" w:anchor="_bookmark55">
        <w:r>
          <w:rPr>
            <w:color w:val="6D6E71"/>
          </w:rPr>
          <w:t>Kreuzer</w:t>
        </w:r>
      </w:hyperlink>
      <w:r>
        <w:rPr>
          <w:color w:val="6D6E71"/>
        </w:rPr>
        <w:t>  </w:t>
      </w:r>
      <w:hyperlink w:history="true" w:anchor="_bookmark55">
        <w:r>
          <w:rPr>
            <w:color w:val="6D6E71"/>
          </w:rPr>
          <w:t>et al.</w:t>
        </w:r>
      </w:hyperlink>
      <w:r>
        <w:rPr>
          <w:color w:val="6D6E71"/>
        </w:rPr>
        <w:t> (</w:t>
      </w:r>
      <w:hyperlink w:history="true" w:anchor="_bookmark55">
        <w:r>
          <w:rPr>
            <w:color w:val="6D6E71"/>
          </w:rPr>
          <w:t>2012</w:t>
        </w:r>
      </w:hyperlink>
      <w:r>
        <w:rPr>
          <w:color w:val="6D6E71"/>
        </w:rPr>
        <w:t>)</w:t>
      </w:r>
      <w:r>
        <w:rPr>
          <w:color w:val="231F20"/>
        </w:rPr>
        <w:t>, whereas most users were satisfied with the application and wear ability of the percutaneous aVNS (</w:t>
      </w:r>
      <w:hyperlink w:history="true" w:anchor="_bookmark45">
        <w:r>
          <w:rPr>
            <w:color w:val="6D6E71"/>
          </w:rPr>
          <w:t>Kampusch et al.</w:t>
        </w:r>
      </w:hyperlink>
      <w:r>
        <w:rPr>
          <w:color w:val="6D6E71"/>
        </w:rPr>
        <w:t>,</w:t>
      </w:r>
      <w:r>
        <w:rPr>
          <w:color w:val="6D6E71"/>
          <w:spacing w:val="-1"/>
        </w:rPr>
        <w:t> </w:t>
      </w:r>
      <w:hyperlink w:history="true" w:anchor="_bookmark45">
        <w:r>
          <w:rPr>
            <w:color w:val="6D6E71"/>
          </w:rPr>
          <w:t>2016</w:t>
        </w:r>
      </w:hyperlink>
      <w:r>
        <w:rPr>
          <w:color w:val="231F20"/>
        </w:rPr>
        <w:t>).</w:t>
      </w:r>
    </w:p>
    <w:p>
      <w:pPr>
        <w:pStyle w:val="BodyText"/>
        <w:spacing w:line="213" w:lineRule="auto" w:before="17"/>
        <w:ind w:right="155" w:firstLine="229"/>
        <w:jc w:val="both"/>
      </w:pPr>
      <w:r>
        <w:rPr>
          <w:color w:val="231F20"/>
        </w:rPr>
        <w:t>Specific construction features of an aVNS  device  such  as  the implemented medical device software introduce further demands. Biocompatibility of the used materials, especially needle electrodes for the percutaneous aVNS, must also be proven. If aVNS device consists of several parts, e.g., separate stimulator</w:t>
      </w:r>
      <w:r>
        <w:rPr>
          <w:color w:val="231F20"/>
          <w:spacing w:val="-7"/>
        </w:rPr>
        <w:t> </w:t>
      </w:r>
      <w:r>
        <w:rPr>
          <w:color w:val="231F20"/>
        </w:rPr>
        <w:t>and</w:t>
      </w:r>
      <w:r>
        <w:rPr>
          <w:color w:val="231F20"/>
          <w:spacing w:val="-6"/>
        </w:rPr>
        <w:t> </w:t>
      </w:r>
      <w:r>
        <w:rPr>
          <w:color w:val="231F20"/>
        </w:rPr>
        <w:t>needle</w:t>
      </w:r>
      <w:r>
        <w:rPr>
          <w:color w:val="231F20"/>
          <w:spacing w:val="-7"/>
        </w:rPr>
        <w:t> </w:t>
      </w:r>
      <w:r>
        <w:rPr>
          <w:color w:val="231F20"/>
        </w:rPr>
        <w:t>electrodes,</w:t>
      </w:r>
      <w:r>
        <w:rPr>
          <w:color w:val="231F20"/>
          <w:spacing w:val="-6"/>
        </w:rPr>
        <w:t> </w:t>
      </w:r>
      <w:r>
        <w:rPr>
          <w:color w:val="231F20"/>
        </w:rPr>
        <w:t>these</w:t>
      </w:r>
      <w:r>
        <w:rPr>
          <w:color w:val="231F20"/>
          <w:spacing w:val="-7"/>
        </w:rPr>
        <w:t> </w:t>
      </w:r>
      <w:r>
        <w:rPr>
          <w:color w:val="231F20"/>
        </w:rPr>
        <w:t>parts</w:t>
      </w:r>
      <w:r>
        <w:rPr>
          <w:color w:val="231F20"/>
          <w:spacing w:val="-6"/>
        </w:rPr>
        <w:t> </w:t>
      </w:r>
      <w:r>
        <w:rPr>
          <w:color w:val="231F20"/>
        </w:rPr>
        <w:t>may</w:t>
      </w:r>
      <w:r>
        <w:rPr>
          <w:color w:val="231F20"/>
          <w:spacing w:val="-6"/>
        </w:rPr>
        <w:t> </w:t>
      </w:r>
      <w:r>
        <w:rPr>
          <w:color w:val="231F20"/>
        </w:rPr>
        <w:t>need</w:t>
      </w:r>
      <w:r>
        <w:rPr>
          <w:color w:val="231F20"/>
          <w:spacing w:val="-7"/>
        </w:rPr>
        <w:t> </w:t>
      </w:r>
      <w:r>
        <w:rPr>
          <w:color w:val="231F20"/>
        </w:rPr>
        <w:t>individual CE marking if supplied separately. In order to avoid harm </w:t>
      </w:r>
      <w:r>
        <w:rPr>
          <w:color w:val="231F20"/>
          <w:spacing w:val="-6"/>
        </w:rPr>
        <w:t>to  </w:t>
      </w:r>
      <w:r>
        <w:rPr>
          <w:color w:val="231F20"/>
          <w:spacing w:val="31"/>
        </w:rPr>
        <w:t> </w:t>
      </w:r>
      <w:r>
        <w:rPr>
          <w:color w:val="231F20"/>
        </w:rPr>
        <w:t>the patient (</w:t>
      </w:r>
      <w:hyperlink w:history="true" w:anchor="_bookmark42">
        <w:r>
          <w:rPr>
            <w:color w:val="6D6E71"/>
          </w:rPr>
          <w:t>ICNIRP</w:t>
        </w:r>
      </w:hyperlink>
      <w:r>
        <w:rPr>
          <w:color w:val="6D6E71"/>
        </w:rPr>
        <w:t>, </w:t>
      </w:r>
      <w:hyperlink w:history="true" w:anchor="_bookmark42">
        <w:r>
          <w:rPr>
            <w:color w:val="6D6E71"/>
          </w:rPr>
          <w:t>1998</w:t>
        </w:r>
      </w:hyperlink>
      <w:r>
        <w:rPr>
          <w:color w:val="231F20"/>
        </w:rPr>
        <w:t>) – in addition to medical treatment effects</w:t>
      </w:r>
      <w:r>
        <w:rPr>
          <w:color w:val="231F20"/>
          <w:spacing w:val="-6"/>
        </w:rPr>
        <w:t> </w:t>
      </w:r>
      <w:r>
        <w:rPr>
          <w:color w:val="231F20"/>
        </w:rPr>
        <w:t>–</w:t>
      </w:r>
      <w:r>
        <w:rPr>
          <w:color w:val="231F20"/>
          <w:spacing w:val="-5"/>
        </w:rPr>
        <w:t> </w:t>
      </w:r>
      <w:r>
        <w:rPr>
          <w:color w:val="231F20"/>
        </w:rPr>
        <w:t>a</w:t>
      </w:r>
      <w:r>
        <w:rPr>
          <w:color w:val="231F20"/>
          <w:spacing w:val="-5"/>
        </w:rPr>
        <w:t> </w:t>
      </w:r>
      <w:r>
        <w:rPr>
          <w:color w:val="231F20"/>
        </w:rPr>
        <w:t>risk</w:t>
      </w:r>
      <w:r>
        <w:rPr>
          <w:color w:val="231F20"/>
          <w:spacing w:val="-5"/>
        </w:rPr>
        <w:t> </w:t>
      </w:r>
      <w:r>
        <w:rPr>
          <w:color w:val="231F20"/>
        </w:rPr>
        <w:t>analysis</w:t>
      </w:r>
      <w:r>
        <w:rPr>
          <w:color w:val="231F20"/>
          <w:spacing w:val="-5"/>
        </w:rPr>
        <w:t> </w:t>
      </w:r>
      <w:r>
        <w:rPr>
          <w:color w:val="231F20"/>
        </w:rPr>
        <w:t>of</w:t>
      </w:r>
      <w:r>
        <w:rPr>
          <w:color w:val="231F20"/>
          <w:spacing w:val="-6"/>
        </w:rPr>
        <w:t> </w:t>
      </w:r>
      <w:r>
        <w:rPr>
          <w:color w:val="231F20"/>
          <w:spacing w:val="-3"/>
        </w:rPr>
        <w:t>electrode’s</w:t>
      </w:r>
      <w:r>
        <w:rPr>
          <w:color w:val="231F20"/>
          <w:spacing w:val="-5"/>
        </w:rPr>
        <w:t> </w:t>
      </w:r>
      <w:r>
        <w:rPr>
          <w:color w:val="231F20"/>
        </w:rPr>
        <w:t>current</w:t>
      </w:r>
      <w:r>
        <w:rPr>
          <w:color w:val="231F20"/>
          <w:spacing w:val="-5"/>
        </w:rPr>
        <w:t> </w:t>
      </w:r>
      <w:r>
        <w:rPr>
          <w:color w:val="231F20"/>
        </w:rPr>
        <w:t>densities</w:t>
      </w:r>
      <w:r>
        <w:rPr>
          <w:color w:val="231F20"/>
          <w:spacing w:val="-5"/>
        </w:rPr>
        <w:t> </w:t>
      </w:r>
      <w:r>
        <w:rPr>
          <w:color w:val="231F20"/>
        </w:rPr>
        <w:t>higher</w:t>
      </w:r>
      <w:r>
        <w:rPr>
          <w:color w:val="231F20"/>
          <w:spacing w:val="-5"/>
        </w:rPr>
        <w:t> </w:t>
      </w:r>
      <w:r>
        <w:rPr>
          <w:color w:val="231F20"/>
        </w:rPr>
        <w:t>than 2 mA/cm</w:t>
      </w:r>
      <w:r>
        <w:rPr>
          <w:color w:val="231F20"/>
          <w:position w:val="7"/>
          <w:sz w:val="14"/>
        </w:rPr>
        <w:t>2 </w:t>
      </w:r>
      <w:r>
        <w:rPr>
          <w:color w:val="231F20"/>
        </w:rPr>
        <w:t>(EN 60601-2-10) has to be</w:t>
      </w:r>
      <w:r>
        <w:rPr>
          <w:color w:val="231F20"/>
          <w:spacing w:val="-11"/>
        </w:rPr>
        <w:t> </w:t>
      </w:r>
      <w:r>
        <w:rPr>
          <w:color w:val="231F20"/>
        </w:rPr>
        <w:t>provided.</w:t>
      </w:r>
    </w:p>
    <w:p>
      <w:pPr>
        <w:pStyle w:val="BodyText"/>
        <w:spacing w:line="213" w:lineRule="auto"/>
        <w:ind w:right="155" w:firstLine="229"/>
        <w:jc w:val="both"/>
      </w:pPr>
      <w:r>
        <w:rPr>
          <w:color w:val="231F20"/>
        </w:rPr>
        <w:t>The notified body is needed for assessment of the technical documentation including the clinical evaluation, regular inspection of the  quality  management  system,  and,  finally,  for granting the CE  certificate  (for  three  years).  Any  </w:t>
      </w:r>
      <w:r>
        <w:rPr>
          <w:color w:val="231F20"/>
          <w:spacing w:val="-3"/>
        </w:rPr>
        <w:t>minor  </w:t>
      </w:r>
      <w:r>
        <w:rPr>
          <w:color w:val="231F20"/>
        </w:rPr>
        <w:t>or major findings during assessment or auditing have to be corrected within a specific time frame, followed by a report and a post-audit inspection. After a declaration of conformity </w:t>
      </w:r>
      <w:r>
        <w:rPr>
          <w:color w:val="231F20"/>
          <w:spacing w:val="-6"/>
        </w:rPr>
        <w:t>is </w:t>
      </w:r>
      <w:r>
        <w:rPr>
          <w:color w:val="231F20"/>
        </w:rPr>
        <w:t>issued, the product for aVNS can be marketed within the EU after registration at each national</w:t>
      </w:r>
      <w:r>
        <w:rPr>
          <w:color w:val="231F20"/>
          <w:spacing w:val="-1"/>
        </w:rPr>
        <w:t> </w:t>
      </w:r>
      <w:r>
        <w:rPr>
          <w:color w:val="231F20"/>
        </w:rPr>
        <w:t>level.</w:t>
      </w:r>
    </w:p>
    <w:p>
      <w:pPr>
        <w:pStyle w:val="BodyText"/>
        <w:spacing w:line="213" w:lineRule="auto"/>
        <w:ind w:right="155" w:firstLine="229"/>
        <w:jc w:val="both"/>
      </w:pPr>
      <w:r>
        <w:rPr>
          <w:color w:val="231F20"/>
        </w:rPr>
        <w:t>In summary, there is need for an appropriate regulatory management covering the whole life-cycle of any aVNS product to avoid failure in the conformity assessment and market entry. Highly faceted regulatory issues can delay time-to-market of </w:t>
      </w:r>
      <w:r>
        <w:rPr>
          <w:color w:val="231F20"/>
          <w:spacing w:val="-6"/>
        </w:rPr>
        <w:t>an </w:t>
      </w:r>
      <w:r>
        <w:rPr>
          <w:color w:val="231F20"/>
        </w:rPr>
        <w:t>aVNS</w:t>
      </w:r>
      <w:r>
        <w:rPr>
          <w:color w:val="231F20"/>
          <w:spacing w:val="-4"/>
        </w:rPr>
        <w:t> </w:t>
      </w:r>
      <w:r>
        <w:rPr>
          <w:color w:val="231F20"/>
        </w:rPr>
        <w:t>device</w:t>
      </w:r>
      <w:r>
        <w:rPr>
          <w:color w:val="231F20"/>
          <w:spacing w:val="-4"/>
        </w:rPr>
        <w:t> </w:t>
      </w:r>
      <w:r>
        <w:rPr>
          <w:color w:val="231F20"/>
        </w:rPr>
        <w:t>and</w:t>
      </w:r>
      <w:r>
        <w:rPr>
          <w:color w:val="231F20"/>
          <w:spacing w:val="-4"/>
        </w:rPr>
        <w:t> </w:t>
      </w:r>
      <w:r>
        <w:rPr>
          <w:color w:val="231F20"/>
        </w:rPr>
        <w:t>tremendously</w:t>
      </w:r>
      <w:r>
        <w:rPr>
          <w:color w:val="231F20"/>
          <w:spacing w:val="-4"/>
        </w:rPr>
        <w:t> </w:t>
      </w:r>
      <w:r>
        <w:rPr>
          <w:color w:val="231F20"/>
        </w:rPr>
        <w:t>increase</w:t>
      </w:r>
      <w:r>
        <w:rPr>
          <w:color w:val="231F20"/>
          <w:spacing w:val="-4"/>
        </w:rPr>
        <w:t> </w:t>
      </w:r>
      <w:r>
        <w:rPr>
          <w:color w:val="231F20"/>
        </w:rPr>
        <w:t>costs</w:t>
      </w:r>
      <w:r>
        <w:rPr>
          <w:color w:val="231F20"/>
          <w:spacing w:val="-4"/>
        </w:rPr>
        <w:t> </w:t>
      </w:r>
      <w:r>
        <w:rPr>
          <w:color w:val="231F20"/>
        </w:rPr>
        <w:t>and</w:t>
      </w:r>
      <w:r>
        <w:rPr>
          <w:color w:val="231F20"/>
          <w:spacing w:val="-4"/>
        </w:rPr>
        <w:t> </w:t>
      </w:r>
      <w:r>
        <w:rPr>
          <w:color w:val="231F20"/>
        </w:rPr>
        <w:t>workload</w:t>
      </w:r>
      <w:r>
        <w:rPr>
          <w:color w:val="231F20"/>
          <w:spacing w:val="-4"/>
        </w:rPr>
        <w:t> </w:t>
      </w:r>
      <w:r>
        <w:rPr>
          <w:color w:val="231F20"/>
        </w:rPr>
        <w:t>for</w:t>
      </w:r>
      <w:r>
        <w:rPr>
          <w:color w:val="231F20"/>
          <w:spacing w:val="-4"/>
        </w:rPr>
        <w:t> </w:t>
      </w:r>
      <w:r>
        <w:rPr>
          <w:color w:val="231F20"/>
          <w:spacing w:val="-15"/>
        </w:rPr>
        <w:t>a </w:t>
      </w:r>
      <w:r>
        <w:rPr>
          <w:color w:val="231F20"/>
        </w:rPr>
        <w:t>medical device company. Thus, an early contact with a notified body already during development is recommended to prevent potential failures in the regulatory</w:t>
      </w:r>
      <w:r>
        <w:rPr>
          <w:color w:val="231F20"/>
          <w:spacing w:val="-1"/>
        </w:rPr>
        <w:t> </w:t>
      </w:r>
      <w:r>
        <w:rPr>
          <w:color w:val="231F20"/>
        </w:rPr>
        <w:t>assessment.</w:t>
      </w:r>
    </w:p>
    <w:p>
      <w:pPr>
        <w:spacing w:after="0" w:line="213" w:lineRule="auto"/>
        <w:jc w:val="both"/>
        <w:sectPr>
          <w:type w:val="continuous"/>
          <w:pgSz w:w="11910" w:h="15600"/>
          <w:pgMar w:top="520" w:bottom="780" w:left="740" w:right="740"/>
          <w:cols w:num="2" w:equalWidth="0">
            <w:col w:w="5095" w:space="79"/>
            <w:col w:w="5256"/>
          </w:cols>
        </w:sectPr>
      </w:pPr>
    </w:p>
    <w:p>
      <w:pPr>
        <w:pStyle w:val="BodyText"/>
        <w:spacing w:before="6"/>
        <w:ind w:left="0"/>
        <w:rPr>
          <w:sz w:val="29"/>
        </w:rPr>
      </w:pPr>
    </w:p>
    <w:p>
      <w:pPr>
        <w:pStyle w:val="BodyText"/>
        <w:rPr>
          <w:sz w:val="20"/>
        </w:rPr>
      </w:pPr>
      <w:r>
        <w:rPr>
          <w:sz w:val="20"/>
        </w:rPr>
        <w:pict>
          <v:group style="width:505.45pt;height:150.5pt;mso-position-horizontal-relative:char;mso-position-vertical-relative:line" coordorigin="0,0" coordsize="10109,3010">
            <v:shape style="position:absolute;left:1345;top:124;width:7344;height:2351" type="#_x0000_t75" stroked="false">
              <v:imagedata r:id="rId41" o:title=""/>
            </v:shape>
            <v:shape style="position:absolute;left:2;top:2;width:10104;height:3005" type="#_x0000_t202" filled="false" stroked="true" strokeweight=".249pt" strokecolor="#000000">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9"/>
                      <w:rPr>
                        <w:sz w:val="11"/>
                      </w:rPr>
                    </w:pPr>
                  </w:p>
                  <w:p>
                    <w:pPr>
                      <w:spacing w:before="0"/>
                      <w:ind w:left="119" w:right="0" w:firstLine="0"/>
                      <w:jc w:val="left"/>
                      <w:rPr>
                        <w:rFonts w:ascii="Arial"/>
                        <w:sz w:val="14"/>
                      </w:rPr>
                    </w:pPr>
                    <w:bookmarkStart w:name="_bookmark3" w:id="12"/>
                    <w:bookmarkEnd w:id="12"/>
                    <w:r>
                      <w:rPr/>
                    </w:r>
                    <w:r>
                      <w:rPr>
                        <w:rFonts w:ascii="Arial"/>
                        <w:color w:val="231F20"/>
                        <w:sz w:val="14"/>
                      </w:rPr>
                      <w:t>FIGURE 3 | CE-related regulatory pathway of aVNS medical devices.</w:t>
                    </w:r>
                  </w:p>
                </w:txbxContent>
              </v:textbox>
              <v:stroke dashstyle="solid"/>
              <w10:wrap type="none"/>
            </v:shape>
          </v:group>
        </w:pict>
      </w:r>
      <w:r>
        <w:rPr>
          <w:sz w:val="20"/>
        </w:rPr>
      </w:r>
    </w:p>
    <w:p>
      <w:pPr>
        <w:pStyle w:val="BodyText"/>
        <w:spacing w:before="7"/>
        <w:ind w:left="0"/>
        <w:rPr>
          <w:sz w:val="16"/>
        </w:rPr>
      </w:pPr>
    </w:p>
    <w:p>
      <w:pPr>
        <w:spacing w:after="0"/>
        <w:rPr>
          <w:sz w:val="16"/>
        </w:rPr>
        <w:sectPr>
          <w:pgSz w:w="11910" w:h="15600"/>
          <w:pgMar w:header="560" w:footer="588" w:top="840" w:bottom="780" w:left="740" w:right="740"/>
        </w:sectPr>
      </w:pPr>
    </w:p>
    <w:p>
      <w:pPr>
        <w:spacing w:before="109"/>
        <w:ind w:left="159" w:right="0" w:firstLine="0"/>
        <w:jc w:val="left"/>
        <w:rPr>
          <w:rFonts w:ascii="Arial"/>
          <w:sz w:val="24"/>
        </w:rPr>
      </w:pPr>
      <w:bookmarkStart w:name="In silico Numerical aVns" w:id="13"/>
      <w:bookmarkEnd w:id="13"/>
      <w:r>
        <w:rPr/>
      </w:r>
      <w:r>
        <w:rPr>
          <w:rFonts w:ascii="Arial"/>
          <w:i/>
          <w:color w:val="231F20"/>
          <w:sz w:val="24"/>
        </w:rPr>
        <w:t>IN SILICO </w:t>
      </w:r>
      <w:r>
        <w:rPr>
          <w:rFonts w:ascii="Arial"/>
          <w:color w:val="231F20"/>
          <w:sz w:val="24"/>
        </w:rPr>
        <w:t>NUMERICAL aVNS</w:t>
      </w:r>
    </w:p>
    <w:p>
      <w:pPr>
        <w:pStyle w:val="BodyText"/>
        <w:spacing w:line="213" w:lineRule="auto" w:before="204"/>
        <w:jc w:val="both"/>
      </w:pPr>
      <w:r>
        <w:rPr>
          <w:color w:val="231F20"/>
        </w:rPr>
        <w:t>In</w:t>
      </w:r>
      <w:r>
        <w:rPr>
          <w:color w:val="231F20"/>
          <w:spacing w:val="-6"/>
        </w:rPr>
        <w:t> </w:t>
      </w:r>
      <w:r>
        <w:rPr>
          <w:color w:val="231F20"/>
        </w:rPr>
        <w:t>order</w:t>
      </w:r>
      <w:r>
        <w:rPr>
          <w:color w:val="231F20"/>
          <w:spacing w:val="-5"/>
        </w:rPr>
        <w:t> </w:t>
      </w:r>
      <w:r>
        <w:rPr>
          <w:color w:val="231F20"/>
        </w:rPr>
        <w:t>to</w:t>
      </w:r>
      <w:r>
        <w:rPr>
          <w:color w:val="231F20"/>
          <w:spacing w:val="-5"/>
        </w:rPr>
        <w:t> </w:t>
      </w:r>
      <w:r>
        <w:rPr>
          <w:color w:val="231F20"/>
        </w:rPr>
        <w:t>optimize</w:t>
      </w:r>
      <w:r>
        <w:rPr>
          <w:color w:val="231F20"/>
          <w:spacing w:val="-5"/>
        </w:rPr>
        <w:t> </w:t>
      </w:r>
      <w:r>
        <w:rPr>
          <w:color w:val="231F20"/>
        </w:rPr>
        <w:t>aVNS</w:t>
      </w:r>
      <w:r>
        <w:rPr>
          <w:color w:val="231F20"/>
          <w:spacing w:val="-5"/>
        </w:rPr>
        <w:t> </w:t>
      </w:r>
      <w:r>
        <w:rPr>
          <w:color w:val="231F20"/>
        </w:rPr>
        <w:t>–</w:t>
      </w:r>
      <w:r>
        <w:rPr>
          <w:color w:val="231F20"/>
          <w:spacing w:val="-6"/>
        </w:rPr>
        <w:t> </w:t>
      </w:r>
      <w:r>
        <w:rPr>
          <w:color w:val="231F20"/>
        </w:rPr>
        <w:t>or</w:t>
      </w:r>
      <w:r>
        <w:rPr>
          <w:color w:val="231F20"/>
          <w:spacing w:val="-5"/>
        </w:rPr>
        <w:t> </w:t>
      </w:r>
      <w:r>
        <w:rPr>
          <w:color w:val="231F20"/>
        </w:rPr>
        <w:t>any</w:t>
      </w:r>
      <w:r>
        <w:rPr>
          <w:color w:val="231F20"/>
          <w:spacing w:val="-5"/>
        </w:rPr>
        <w:t> </w:t>
      </w:r>
      <w:r>
        <w:rPr>
          <w:color w:val="231F20"/>
        </w:rPr>
        <w:t>neurostimulation</w:t>
      </w:r>
      <w:r>
        <w:rPr>
          <w:color w:val="231F20"/>
          <w:spacing w:val="-5"/>
        </w:rPr>
        <w:t> </w:t>
      </w:r>
      <w:r>
        <w:rPr>
          <w:color w:val="231F20"/>
        </w:rPr>
        <w:t>approach</w:t>
      </w:r>
      <w:r>
        <w:rPr>
          <w:color w:val="231F20"/>
          <w:spacing w:val="-5"/>
        </w:rPr>
        <w:t> </w:t>
      </w:r>
      <w:r>
        <w:rPr>
          <w:color w:val="231F20"/>
          <w:spacing w:val="-11"/>
        </w:rPr>
        <w:t>– </w:t>
      </w:r>
      <w:r>
        <w:rPr>
          <w:color w:val="231F20"/>
        </w:rPr>
        <w:t>numerical simulation of aVNS is a reasonable approach. The simulation requires a step-wise coupled electromagnetic </w:t>
      </w:r>
      <w:r>
        <w:rPr>
          <w:color w:val="231F20"/>
          <w:spacing w:val="-5"/>
        </w:rPr>
        <w:t>and </w:t>
      </w:r>
      <w:r>
        <w:rPr>
          <w:color w:val="231F20"/>
        </w:rPr>
        <w:t>electrophysiological modeling. First, the distribution of </w:t>
      </w:r>
      <w:r>
        <w:rPr>
          <w:color w:val="231F20"/>
          <w:spacing w:val="-5"/>
        </w:rPr>
        <w:t>the </w:t>
      </w:r>
      <w:r>
        <w:rPr>
          <w:color w:val="231F20"/>
        </w:rPr>
        <w:t>electric field in tissue is calculated in response to an </w:t>
      </w:r>
      <w:r>
        <w:rPr>
          <w:color w:val="231F20"/>
          <w:spacing w:val="-3"/>
        </w:rPr>
        <w:t>applied </w:t>
      </w:r>
      <w:r>
        <w:rPr>
          <w:color w:val="231F20"/>
        </w:rPr>
        <w:t>electric stimulus; e.g., via current or voltage electrodes on </w:t>
      </w:r>
      <w:r>
        <w:rPr>
          <w:color w:val="231F20"/>
          <w:spacing w:val="-5"/>
        </w:rPr>
        <w:t>the </w:t>
      </w:r>
      <w:r>
        <w:rPr>
          <w:color w:val="231F20"/>
        </w:rPr>
        <w:t>auricular skin (</w:t>
      </w:r>
      <w:hyperlink w:history="true" w:anchor="_bookmark1">
        <w:r>
          <w:rPr>
            <w:b/>
            <w:color w:val="231F20"/>
          </w:rPr>
          <w:t>Figure 1B</w:t>
        </w:r>
      </w:hyperlink>
      <w:r>
        <w:rPr>
          <w:color w:val="231F20"/>
        </w:rPr>
        <w:t>). The resulting  distribution  takes  into account the particular anatomy of the ear and its tissue heterogeneity in terms of varying local electrical properties </w:t>
      </w:r>
      <w:r>
        <w:rPr>
          <w:color w:val="231F20"/>
          <w:spacing w:val="-8"/>
        </w:rPr>
        <w:t>of  </w:t>
      </w:r>
      <w:r>
        <w:rPr>
          <w:color w:val="231F20"/>
        </w:rPr>
        <w:t>the</w:t>
      </w:r>
      <w:r>
        <w:rPr>
          <w:color w:val="231F20"/>
          <w:spacing w:val="-10"/>
        </w:rPr>
        <w:t> </w:t>
      </w:r>
      <w:r>
        <w:rPr>
          <w:color w:val="231F20"/>
        </w:rPr>
        <w:t>auricular</w:t>
      </w:r>
      <w:r>
        <w:rPr>
          <w:color w:val="231F20"/>
          <w:spacing w:val="-9"/>
        </w:rPr>
        <w:t> </w:t>
      </w:r>
      <w:r>
        <w:rPr>
          <w:color w:val="231F20"/>
        </w:rPr>
        <w:t>tissue</w:t>
      </w:r>
      <w:r>
        <w:rPr>
          <w:color w:val="231F20"/>
          <w:spacing w:val="-10"/>
        </w:rPr>
        <w:t> </w:t>
      </w:r>
      <w:r>
        <w:rPr>
          <w:color w:val="231F20"/>
        </w:rPr>
        <w:t>(its</w:t>
      </w:r>
      <w:r>
        <w:rPr>
          <w:color w:val="231F20"/>
          <w:spacing w:val="-10"/>
        </w:rPr>
        <w:t> </w:t>
      </w:r>
      <w:r>
        <w:rPr>
          <w:color w:val="231F20"/>
        </w:rPr>
        <w:t>conductivity</w:t>
      </w:r>
      <w:r>
        <w:rPr>
          <w:color w:val="231F20"/>
          <w:spacing w:val="-9"/>
        </w:rPr>
        <w:t> </w:t>
      </w:r>
      <w:r>
        <w:rPr>
          <w:color w:val="231F20"/>
        </w:rPr>
        <w:t>and</w:t>
      </w:r>
      <w:r>
        <w:rPr>
          <w:color w:val="231F20"/>
          <w:spacing w:val="-9"/>
        </w:rPr>
        <w:t> </w:t>
      </w:r>
      <w:r>
        <w:rPr>
          <w:color w:val="231F20"/>
        </w:rPr>
        <w:t>permittivity);</w:t>
      </w:r>
      <w:r>
        <w:rPr>
          <w:color w:val="231F20"/>
          <w:spacing w:val="-10"/>
        </w:rPr>
        <w:t> </w:t>
      </w:r>
      <w:r>
        <w:rPr>
          <w:color w:val="231F20"/>
        </w:rPr>
        <w:t>anisotropy of tissue properties is also considered. Second, the local electric fields, their gradients and dynamic – resulting along</w:t>
      </w:r>
      <w:r>
        <w:rPr>
          <w:color w:val="231F20"/>
          <w:spacing w:val="-30"/>
        </w:rPr>
        <w:t> </w:t>
      </w:r>
      <w:r>
        <w:rPr>
          <w:color w:val="231F20"/>
        </w:rPr>
        <w:t>extracellular spaces or trajectories of auricular axons and their endings – </w:t>
      </w:r>
      <w:r>
        <w:rPr>
          <w:color w:val="231F20"/>
          <w:spacing w:val="-5"/>
        </w:rPr>
        <w:t>are </w:t>
      </w:r>
      <w:r>
        <w:rPr>
          <w:color w:val="231F20"/>
        </w:rPr>
        <w:t>used for the neural simulation. That is, the induced fields are used for the investigation of the non-linear response of axonal membranes to the applied stimulus. The dynamics of the electric field is tightly connected with the temporal  characteristics</w:t>
      </w:r>
      <w:r>
        <w:rPr>
          <w:color w:val="231F20"/>
          <w:spacing w:val="28"/>
        </w:rPr>
        <w:t> </w:t>
      </w:r>
      <w:r>
        <w:rPr>
          <w:color w:val="231F20"/>
        </w:rPr>
        <w:t>of the applied stimulus (e.g., with the pulse shape). For the neural simulation,</w:t>
      </w:r>
      <w:r>
        <w:rPr>
          <w:color w:val="231F20"/>
          <w:spacing w:val="-5"/>
        </w:rPr>
        <w:t> </w:t>
      </w:r>
      <w:r>
        <w:rPr>
          <w:color w:val="231F20"/>
        </w:rPr>
        <w:t>the</w:t>
      </w:r>
      <w:r>
        <w:rPr>
          <w:color w:val="231F20"/>
          <w:spacing w:val="-5"/>
        </w:rPr>
        <w:t> </w:t>
      </w:r>
      <w:r>
        <w:rPr>
          <w:color w:val="231F20"/>
        </w:rPr>
        <w:t>physiological</w:t>
      </w:r>
      <w:r>
        <w:rPr>
          <w:color w:val="231F20"/>
          <w:spacing w:val="-5"/>
        </w:rPr>
        <w:t> </w:t>
      </w:r>
      <w:r>
        <w:rPr>
          <w:color w:val="231F20"/>
        </w:rPr>
        <w:t>distribution</w:t>
      </w:r>
      <w:r>
        <w:rPr>
          <w:color w:val="231F20"/>
          <w:spacing w:val="-4"/>
        </w:rPr>
        <w:t> </w:t>
      </w:r>
      <w:r>
        <w:rPr>
          <w:color w:val="231F20"/>
        </w:rPr>
        <w:t>density</w:t>
      </w:r>
      <w:r>
        <w:rPr>
          <w:color w:val="231F20"/>
          <w:spacing w:val="-5"/>
        </w:rPr>
        <w:t> </w:t>
      </w:r>
      <w:r>
        <w:rPr>
          <w:color w:val="231F20"/>
        </w:rPr>
        <w:t>of</w:t>
      </w:r>
      <w:r>
        <w:rPr>
          <w:color w:val="231F20"/>
          <w:spacing w:val="-5"/>
        </w:rPr>
        <w:t> </w:t>
      </w:r>
      <w:r>
        <w:rPr>
          <w:color w:val="231F20"/>
        </w:rPr>
        <w:t>fiber</w:t>
      </w:r>
      <w:r>
        <w:rPr>
          <w:color w:val="231F20"/>
          <w:spacing w:val="-5"/>
        </w:rPr>
        <w:t> </w:t>
      </w:r>
      <w:r>
        <w:rPr>
          <w:color w:val="231F20"/>
        </w:rPr>
        <w:t>types</w:t>
      </w:r>
      <w:r>
        <w:rPr>
          <w:color w:val="231F20"/>
          <w:spacing w:val="-4"/>
        </w:rPr>
        <w:t> </w:t>
      </w:r>
      <w:r>
        <w:rPr>
          <w:color w:val="231F20"/>
          <w:spacing w:val="-6"/>
        </w:rPr>
        <w:t>in </w:t>
      </w:r>
      <w:r>
        <w:rPr>
          <w:color w:val="231F20"/>
        </w:rPr>
        <w:t>the ear and their diameters as well as realistic fiber models are required. For instance, myelinated fibers can be </w:t>
      </w:r>
      <w:r>
        <w:rPr>
          <w:color w:val="231F20"/>
          <w:spacing w:val="-2"/>
        </w:rPr>
        <w:t>approximated </w:t>
      </w:r>
      <w:r>
        <w:rPr>
          <w:color w:val="231F20"/>
        </w:rPr>
        <w:t>with the SENN model (</w:t>
      </w:r>
      <w:hyperlink w:history="true" w:anchor="_bookmark83">
        <w:r>
          <w:rPr>
            <w:color w:val="6D6E71"/>
          </w:rPr>
          <w:t>Reilly and Diamant</w:t>
        </w:r>
      </w:hyperlink>
      <w:r>
        <w:rPr>
          <w:color w:val="6D6E71"/>
        </w:rPr>
        <w:t>, </w:t>
      </w:r>
      <w:hyperlink w:history="true" w:anchor="_bookmark83">
        <w:r>
          <w:rPr>
            <w:color w:val="6D6E71"/>
          </w:rPr>
          <w:t>2011</w:t>
        </w:r>
      </w:hyperlink>
      <w:r>
        <w:rPr>
          <w:color w:val="231F20"/>
        </w:rPr>
        <w:t>), the MRG model (</w:t>
      </w:r>
      <w:hyperlink w:history="true" w:anchor="_bookmark62">
        <w:r>
          <w:rPr>
            <w:color w:val="6D6E71"/>
          </w:rPr>
          <w:t>McIntyre et al.</w:t>
        </w:r>
      </w:hyperlink>
      <w:r>
        <w:rPr>
          <w:color w:val="6D6E71"/>
        </w:rPr>
        <w:t>, </w:t>
      </w:r>
      <w:hyperlink w:history="true" w:anchor="_bookmark62">
        <w:r>
          <w:rPr>
            <w:color w:val="6D6E71"/>
          </w:rPr>
          <w:t>2002</w:t>
        </w:r>
      </w:hyperlink>
      <w:r>
        <w:rPr>
          <w:color w:val="231F20"/>
        </w:rPr>
        <w:t>), or the Sweeney model (</w:t>
      </w:r>
      <w:hyperlink w:history="true" w:anchor="_bookmark101">
        <w:r>
          <w:rPr>
            <w:color w:val="6D6E71"/>
          </w:rPr>
          <w:t>Sweeney</w:t>
        </w:r>
      </w:hyperlink>
      <w:r>
        <w:rPr>
          <w:color w:val="6D6E71"/>
        </w:rPr>
        <w:t>  </w:t>
      </w:r>
      <w:hyperlink w:history="true" w:anchor="_bookmark101">
        <w:r>
          <w:rPr>
            <w:color w:val="6D6E71"/>
          </w:rPr>
          <w:t>et al.</w:t>
        </w:r>
      </w:hyperlink>
      <w:r>
        <w:rPr>
          <w:color w:val="6D6E71"/>
        </w:rPr>
        <w:t>, </w:t>
      </w:r>
      <w:hyperlink w:history="true" w:anchor="_bookmark101">
        <w:r>
          <w:rPr>
            <w:color w:val="6D6E71"/>
          </w:rPr>
          <w:t>1987</w:t>
        </w:r>
      </w:hyperlink>
      <w:r>
        <w:rPr>
          <w:color w:val="231F20"/>
        </w:rPr>
        <w:t>). An integrated modeling with a feedback of </w:t>
      </w:r>
      <w:r>
        <w:rPr>
          <w:color w:val="231F20"/>
          <w:spacing w:val="-4"/>
        </w:rPr>
        <w:t>the </w:t>
      </w:r>
      <w:r>
        <w:rPr>
          <w:color w:val="231F20"/>
        </w:rPr>
        <w:t>neural excitation to the excitatory extracellular electric potential is not reasonable since local action impulses with a  typical  swing in the membrane voltage by about 100 mV change only insignificantly the extracellular potential by 1–3 mV (</w:t>
      </w:r>
      <w:hyperlink w:history="true" w:anchor="_bookmark79">
        <w:r>
          <w:rPr>
            <w:color w:val="6D6E71"/>
          </w:rPr>
          <w:t>Rattay</w:t>
        </w:r>
      </w:hyperlink>
      <w:r>
        <w:rPr>
          <w:color w:val="6D6E71"/>
        </w:rPr>
        <w:t>, </w:t>
      </w:r>
      <w:hyperlink w:history="true" w:anchor="_bookmark79">
        <w:r>
          <w:rPr>
            <w:color w:val="6D6E71"/>
          </w:rPr>
          <w:t>1990</w:t>
        </w:r>
      </w:hyperlink>
      <w:r>
        <w:rPr>
          <w:color w:val="231F20"/>
        </w:rPr>
        <w:t>). In short, electrical properties of tissues between </w:t>
      </w:r>
      <w:r>
        <w:rPr>
          <w:color w:val="231F20"/>
          <w:spacing w:val="-3"/>
        </w:rPr>
        <w:t>electrodes </w:t>
      </w:r>
      <w:r>
        <w:rPr>
          <w:color w:val="231F20"/>
        </w:rPr>
        <w:t>and</w:t>
      </w:r>
      <w:r>
        <w:rPr>
          <w:color w:val="231F20"/>
          <w:spacing w:val="-9"/>
        </w:rPr>
        <w:t> </w:t>
      </w:r>
      <w:r>
        <w:rPr>
          <w:color w:val="231F20"/>
        </w:rPr>
        <w:t>nerves</w:t>
      </w:r>
      <w:r>
        <w:rPr>
          <w:color w:val="231F20"/>
          <w:spacing w:val="-8"/>
        </w:rPr>
        <w:t> </w:t>
      </w:r>
      <w:r>
        <w:rPr>
          <w:color w:val="231F20"/>
        </w:rPr>
        <w:t>and,</w:t>
      </w:r>
      <w:r>
        <w:rPr>
          <w:color w:val="231F20"/>
          <w:spacing w:val="-7"/>
        </w:rPr>
        <w:t> </w:t>
      </w:r>
      <w:r>
        <w:rPr>
          <w:color w:val="231F20"/>
        </w:rPr>
        <w:t>on</w:t>
      </w:r>
      <w:r>
        <w:rPr>
          <w:color w:val="231F20"/>
          <w:spacing w:val="-9"/>
        </w:rPr>
        <w:t> </w:t>
      </w:r>
      <w:r>
        <w:rPr>
          <w:color w:val="231F20"/>
        </w:rPr>
        <w:t>the</w:t>
      </w:r>
      <w:r>
        <w:rPr>
          <w:color w:val="231F20"/>
          <w:spacing w:val="-8"/>
        </w:rPr>
        <w:t> </w:t>
      </w:r>
      <w:r>
        <w:rPr>
          <w:color w:val="231F20"/>
        </w:rPr>
        <w:t>other</w:t>
      </w:r>
      <w:r>
        <w:rPr>
          <w:color w:val="231F20"/>
          <w:spacing w:val="-8"/>
        </w:rPr>
        <w:t> </w:t>
      </w:r>
      <w:r>
        <w:rPr>
          <w:color w:val="231F20"/>
        </w:rPr>
        <w:t>hand,</w:t>
      </w:r>
      <w:r>
        <w:rPr>
          <w:color w:val="231F20"/>
          <w:spacing w:val="-8"/>
        </w:rPr>
        <w:t> </w:t>
      </w:r>
      <w:r>
        <w:rPr>
          <w:color w:val="231F20"/>
        </w:rPr>
        <w:t>properties</w:t>
      </w:r>
      <w:r>
        <w:rPr>
          <w:color w:val="231F20"/>
          <w:spacing w:val="-9"/>
        </w:rPr>
        <w:t> </w:t>
      </w:r>
      <w:r>
        <w:rPr>
          <w:color w:val="231F20"/>
        </w:rPr>
        <w:t>of</w:t>
      </w:r>
      <w:r>
        <w:rPr>
          <w:color w:val="231F20"/>
          <w:spacing w:val="-7"/>
        </w:rPr>
        <w:t> </w:t>
      </w:r>
      <w:r>
        <w:rPr>
          <w:color w:val="231F20"/>
        </w:rPr>
        <w:t>neural</w:t>
      </w:r>
      <w:r>
        <w:rPr>
          <w:color w:val="231F20"/>
          <w:spacing w:val="-8"/>
        </w:rPr>
        <w:t> </w:t>
      </w:r>
      <w:r>
        <w:rPr>
          <w:color w:val="231F20"/>
        </w:rPr>
        <w:t>structures </w:t>
      </w:r>
      <w:r>
        <w:rPr>
          <w:color w:val="231F20"/>
          <w:spacing w:val="-3"/>
        </w:rPr>
        <w:t>(fiber’s </w:t>
      </w:r>
      <w:r>
        <w:rPr>
          <w:color w:val="231F20"/>
        </w:rPr>
        <w:t>trajectories, type, and diameter) determine the physical stimulation depth and thresholds of aVNS for arbitrary</w:t>
      </w:r>
      <w:r>
        <w:rPr>
          <w:color w:val="231F20"/>
          <w:spacing w:val="-22"/>
        </w:rPr>
        <w:t> </w:t>
      </w:r>
      <w:r>
        <w:rPr>
          <w:color w:val="231F20"/>
        </w:rPr>
        <w:t>electrode placement and stimulation</w:t>
      </w:r>
      <w:r>
        <w:rPr>
          <w:color w:val="231F20"/>
          <w:spacing w:val="-1"/>
        </w:rPr>
        <w:t> </w:t>
      </w:r>
      <w:r>
        <w:rPr>
          <w:color w:val="231F20"/>
        </w:rPr>
        <w:t>waveform.</w:t>
      </w:r>
    </w:p>
    <w:p>
      <w:pPr>
        <w:pStyle w:val="BodyText"/>
        <w:spacing w:line="213" w:lineRule="auto" w:before="28"/>
        <w:ind w:firstLine="229"/>
        <w:jc w:val="both"/>
      </w:pPr>
      <w:r>
        <w:rPr>
          <w:color w:val="231F20"/>
        </w:rPr>
        <w:t>Effects of the electrode/tissue boundary have to </w:t>
      </w:r>
      <w:r>
        <w:rPr>
          <w:color w:val="231F20"/>
          <w:spacing w:val="-8"/>
        </w:rPr>
        <w:t>be </w:t>
      </w:r>
      <w:r>
        <w:rPr>
          <w:color w:val="231F20"/>
        </w:rPr>
        <w:t>numerically  accounted  for.  In  particular,  needle   </w:t>
      </w:r>
      <w:r>
        <w:rPr>
          <w:color w:val="231F20"/>
          <w:spacing w:val="-3"/>
        </w:rPr>
        <w:t>electrodes </w:t>
      </w:r>
      <w:r>
        <w:rPr>
          <w:color w:val="231F20"/>
        </w:rPr>
        <w:t>for</w:t>
      </w:r>
      <w:r>
        <w:rPr>
          <w:color w:val="231F20"/>
          <w:spacing w:val="-4"/>
        </w:rPr>
        <w:t> </w:t>
      </w:r>
      <w:r>
        <w:rPr>
          <w:color w:val="231F20"/>
        </w:rPr>
        <w:t>the</w:t>
      </w:r>
      <w:r>
        <w:rPr>
          <w:color w:val="231F20"/>
          <w:spacing w:val="-4"/>
        </w:rPr>
        <w:t> </w:t>
      </w:r>
      <w:r>
        <w:rPr>
          <w:color w:val="231F20"/>
        </w:rPr>
        <w:t>percutaneous</w:t>
      </w:r>
      <w:r>
        <w:rPr>
          <w:color w:val="231F20"/>
          <w:spacing w:val="-4"/>
        </w:rPr>
        <w:t> </w:t>
      </w:r>
      <w:r>
        <w:rPr>
          <w:color w:val="231F20"/>
        </w:rPr>
        <w:t>aVNS</w:t>
      </w:r>
      <w:r>
        <w:rPr>
          <w:color w:val="231F20"/>
          <w:spacing w:val="-4"/>
        </w:rPr>
        <w:t> </w:t>
      </w:r>
      <w:r>
        <w:rPr>
          <w:color w:val="231F20"/>
        </w:rPr>
        <w:t>act</w:t>
      </w:r>
      <w:r>
        <w:rPr>
          <w:color w:val="231F20"/>
          <w:spacing w:val="-4"/>
        </w:rPr>
        <w:t> </w:t>
      </w:r>
      <w:r>
        <w:rPr>
          <w:color w:val="231F20"/>
        </w:rPr>
        <w:t>typically</w:t>
      </w:r>
      <w:r>
        <w:rPr>
          <w:color w:val="231F20"/>
          <w:spacing w:val="-4"/>
        </w:rPr>
        <w:t> </w:t>
      </w:r>
      <w:r>
        <w:rPr>
          <w:color w:val="231F20"/>
        </w:rPr>
        <w:t>as</w:t>
      </w:r>
      <w:r>
        <w:rPr>
          <w:color w:val="231F20"/>
          <w:spacing w:val="-4"/>
        </w:rPr>
        <w:t> </w:t>
      </w:r>
      <w:r>
        <w:rPr>
          <w:color w:val="231F20"/>
        </w:rPr>
        <w:t>polarizable</w:t>
      </w:r>
      <w:r>
        <w:rPr>
          <w:color w:val="231F20"/>
          <w:spacing w:val="-4"/>
        </w:rPr>
        <w:t> </w:t>
      </w:r>
      <w:r>
        <w:rPr>
          <w:color w:val="231F20"/>
        </w:rPr>
        <w:t>electrodes, whereas surface electrodes  for  transcutaneous  aVNS  can  </w:t>
      </w:r>
      <w:r>
        <w:rPr>
          <w:color w:val="231F20"/>
          <w:spacing w:val="-5"/>
        </w:rPr>
        <w:t>act  </w:t>
      </w:r>
      <w:r>
        <w:rPr>
          <w:color w:val="231F20"/>
        </w:rPr>
        <w:t>as non-polarizable electrodes. These different electrode/tissue interfaces can be numerically considered using pre-processed data as input into the electromagnetic modeling of</w:t>
      </w:r>
      <w:r>
        <w:rPr>
          <w:color w:val="231F20"/>
          <w:spacing w:val="-1"/>
        </w:rPr>
        <w:t> </w:t>
      </w:r>
      <w:r>
        <w:rPr>
          <w:color w:val="231F20"/>
        </w:rPr>
        <w:t>aVNS.</w:t>
      </w:r>
    </w:p>
    <w:p>
      <w:pPr>
        <w:pStyle w:val="BodyText"/>
        <w:spacing w:line="213" w:lineRule="auto" w:before="131"/>
        <w:ind w:right="155" w:firstLine="229"/>
        <w:jc w:val="both"/>
      </w:pPr>
      <w:r>
        <w:rPr/>
        <w:br w:type="column"/>
      </w:r>
      <w:r>
        <w:rPr>
          <w:color w:val="231F20"/>
        </w:rPr>
        <w:t>Neurostimulation by an arbitrary number of active </w:t>
      </w:r>
      <w:r>
        <w:rPr>
          <w:color w:val="231F20"/>
          <w:spacing w:val="-3"/>
        </w:rPr>
        <w:t>electrodes </w:t>
      </w:r>
      <w:r>
        <w:rPr>
          <w:color w:val="231F20"/>
        </w:rPr>
        <w:t>in the ear (single or multiple electrodes, see </w:t>
      </w:r>
      <w:hyperlink w:history="true" w:anchor="_bookmark4">
        <w:r>
          <w:rPr>
            <w:b/>
            <w:color w:val="231F20"/>
          </w:rPr>
          <w:t>Figure 4B</w:t>
        </w:r>
      </w:hyperlink>
      <w:r>
        <w:rPr>
          <w:color w:val="231F20"/>
        </w:rPr>
        <w:t>) can be numerically assessed. For instance, the concept of the activating function and their  superposition  can  be  favorably  used  </w:t>
      </w:r>
      <w:r>
        <w:rPr>
          <w:color w:val="231F20"/>
          <w:spacing w:val="-3"/>
        </w:rPr>
        <w:t>here  </w:t>
      </w:r>
      <w:r>
        <w:rPr>
          <w:color w:val="231F20"/>
        </w:rPr>
        <w:t>if continuous neuronal trajectories in the auricle are </w:t>
      </w:r>
      <w:r>
        <w:rPr>
          <w:color w:val="231F20"/>
          <w:spacing w:val="-3"/>
        </w:rPr>
        <w:t>known </w:t>
      </w:r>
      <w:r>
        <w:rPr>
          <w:color w:val="231F20"/>
        </w:rPr>
        <w:t>(</w:t>
      </w:r>
      <w:hyperlink w:history="true" w:anchor="_bookmark78">
        <w:r>
          <w:rPr>
            <w:color w:val="6D6E71"/>
          </w:rPr>
          <w:t>Rattay</w:t>
        </w:r>
      </w:hyperlink>
      <w:r>
        <w:rPr>
          <w:color w:val="6D6E71"/>
        </w:rPr>
        <w:t>, </w:t>
      </w:r>
      <w:hyperlink w:history="true" w:anchor="_bookmark78">
        <w:r>
          <w:rPr>
            <w:color w:val="6D6E71"/>
          </w:rPr>
          <w:t>1986</w:t>
        </w:r>
      </w:hyperlink>
      <w:r>
        <w:rPr>
          <w:color w:val="6D6E71"/>
        </w:rPr>
        <w:t>, </w:t>
      </w:r>
      <w:hyperlink w:history="true" w:anchor="_bookmark80">
        <w:r>
          <w:rPr>
            <w:color w:val="6D6E71"/>
          </w:rPr>
          <w:t>1999</w:t>
        </w:r>
      </w:hyperlink>
      <w:r>
        <w:rPr>
          <w:color w:val="231F20"/>
        </w:rPr>
        <w:t>). It states that the activating function – proportional to the second derivative of the extracellular electric potential along the nerve trajectory – is positive for the </w:t>
      </w:r>
      <w:r>
        <w:rPr>
          <w:color w:val="231F20"/>
          <w:spacing w:val="-3"/>
        </w:rPr>
        <w:t>local </w:t>
      </w:r>
      <w:r>
        <w:rPr>
          <w:color w:val="231F20"/>
        </w:rPr>
        <w:t>depolarization and is negative for the local hyperpolarization. The activating function predicts the  site  of  spikes  initiation  for a given neuronal trajectory.  Since  the  activating  function of each single electrode is subjected to a strong decrease with    </w:t>
      </w:r>
      <w:r>
        <w:rPr>
          <w:i/>
          <w:color w:val="231F20"/>
        </w:rPr>
        <w:t>y</w:t>
      </w:r>
      <w:r>
        <w:rPr>
          <w:color w:val="231F20"/>
          <w:position w:val="7"/>
          <w:sz w:val="14"/>
        </w:rPr>
        <w:t>3</w:t>
      </w:r>
      <w:r>
        <w:rPr>
          <w:color w:val="231F20"/>
          <w:spacing w:val="31"/>
          <w:position w:val="7"/>
          <w:sz w:val="14"/>
        </w:rPr>
        <w:t> </w:t>
      </w:r>
      <w:r>
        <w:rPr>
          <w:color w:val="231F20"/>
        </w:rPr>
        <w:t>(</w:t>
      </w:r>
      <w:hyperlink w:history="true" w:anchor="_bookmark48">
        <w:r>
          <w:rPr>
            <w:color w:val="6D6E71"/>
          </w:rPr>
          <w:t>Kaniusas</w:t>
        </w:r>
      </w:hyperlink>
      <w:r>
        <w:rPr>
          <w:color w:val="6D6E71"/>
        </w:rPr>
        <w:t>, </w:t>
      </w:r>
      <w:hyperlink w:history="true" w:anchor="_bookmark48">
        <w:r>
          <w:rPr>
            <w:color w:val="6D6E71"/>
          </w:rPr>
          <w:t>2019</w:t>
        </w:r>
      </w:hyperlink>
      <w:r>
        <w:rPr>
          <w:color w:val="231F20"/>
        </w:rPr>
        <w:t>), with </w:t>
      </w:r>
      <w:r>
        <w:rPr>
          <w:i/>
          <w:color w:val="231F20"/>
        </w:rPr>
        <w:t>y  </w:t>
      </w:r>
      <w:r>
        <w:rPr>
          <w:color w:val="231F20"/>
        </w:rPr>
        <w:t>as  the  normal  electrode  distance to the considered axon (</w:t>
      </w:r>
      <w:hyperlink w:history="true" w:anchor="_bookmark4">
        <w:r>
          <w:rPr>
            <w:b/>
            <w:color w:val="231F20"/>
          </w:rPr>
          <w:t>Figure  4A</w:t>
        </w:r>
      </w:hyperlink>
      <w:r>
        <w:rPr>
          <w:color w:val="231F20"/>
        </w:rPr>
        <w:t>),  a  distant  electrode</w:t>
      </w:r>
      <w:r>
        <w:rPr>
          <w:color w:val="231F20"/>
          <w:spacing w:val="24"/>
        </w:rPr>
        <w:t> </w:t>
      </w:r>
      <w:r>
        <w:rPr>
          <w:color w:val="231F20"/>
        </w:rPr>
        <w:t>with its </w:t>
      </w:r>
      <w:r>
        <w:rPr>
          <w:i/>
          <w:color w:val="231F20"/>
        </w:rPr>
        <w:t>y  </w:t>
      </w:r>
      <w:r>
        <w:rPr>
          <w:color w:val="231F20"/>
        </w:rPr>
        <w:t>about  three  times  of  </w:t>
      </w:r>
      <w:r>
        <w:rPr>
          <w:i/>
          <w:color w:val="231F20"/>
        </w:rPr>
        <w:t>y  </w:t>
      </w:r>
      <w:r>
        <w:rPr>
          <w:color w:val="231F20"/>
        </w:rPr>
        <w:t>of  another  near  electrode  can  be neglected, if both electrodes carry the same stimulation current. Likewise, the distant electrode contributes only very little to the geometrical superposition result of the relevant activating</w:t>
      </w:r>
      <w:r>
        <w:rPr>
          <w:color w:val="231F20"/>
          <w:spacing w:val="-7"/>
        </w:rPr>
        <w:t> </w:t>
      </w:r>
      <w:r>
        <w:rPr>
          <w:color w:val="231F20"/>
        </w:rPr>
        <w:t>functions.</w:t>
      </w:r>
      <w:r>
        <w:rPr>
          <w:color w:val="231F20"/>
          <w:spacing w:val="-7"/>
        </w:rPr>
        <w:t> </w:t>
      </w:r>
      <w:r>
        <w:rPr>
          <w:color w:val="231F20"/>
        </w:rPr>
        <w:t>In</w:t>
      </w:r>
      <w:r>
        <w:rPr>
          <w:color w:val="231F20"/>
          <w:spacing w:val="-6"/>
        </w:rPr>
        <w:t> </w:t>
      </w:r>
      <w:r>
        <w:rPr>
          <w:color w:val="231F20"/>
        </w:rPr>
        <w:t>contrast,</w:t>
      </w:r>
      <w:r>
        <w:rPr>
          <w:color w:val="231F20"/>
          <w:spacing w:val="-7"/>
        </w:rPr>
        <w:t> </w:t>
      </w:r>
      <w:r>
        <w:rPr>
          <w:color w:val="231F20"/>
        </w:rPr>
        <w:t>discontinuous</w:t>
      </w:r>
      <w:r>
        <w:rPr>
          <w:color w:val="231F20"/>
          <w:spacing w:val="-7"/>
        </w:rPr>
        <w:t> </w:t>
      </w:r>
      <w:r>
        <w:rPr>
          <w:color w:val="231F20"/>
        </w:rPr>
        <w:t>or</w:t>
      </w:r>
      <w:r>
        <w:rPr>
          <w:color w:val="231F20"/>
          <w:spacing w:val="-6"/>
        </w:rPr>
        <w:t> </w:t>
      </w:r>
      <w:r>
        <w:rPr>
          <w:color w:val="231F20"/>
        </w:rPr>
        <w:t>bend</w:t>
      </w:r>
      <w:r>
        <w:rPr>
          <w:color w:val="231F20"/>
          <w:spacing w:val="-7"/>
        </w:rPr>
        <w:t> </w:t>
      </w:r>
      <w:r>
        <w:rPr>
          <w:color w:val="231F20"/>
        </w:rPr>
        <w:t>neuronal trajectories are subjected to end-mode or bend-mode </w:t>
      </w:r>
      <w:r>
        <w:rPr>
          <w:color w:val="231F20"/>
          <w:spacing w:val="-3"/>
        </w:rPr>
        <w:t>excitation, </w:t>
      </w:r>
      <w:r>
        <w:rPr>
          <w:color w:val="231F20"/>
        </w:rPr>
        <w:t>respectively (</w:t>
      </w:r>
      <w:hyperlink w:history="true" w:anchor="_bookmark48">
        <w:r>
          <w:rPr>
            <w:color w:val="6D6E71"/>
          </w:rPr>
          <w:t>Kaniusas</w:t>
        </w:r>
      </w:hyperlink>
      <w:r>
        <w:rPr>
          <w:color w:val="6D6E71"/>
        </w:rPr>
        <w:t>, </w:t>
      </w:r>
      <w:hyperlink w:history="true" w:anchor="_bookmark48">
        <w:r>
          <w:rPr>
            <w:color w:val="6D6E71"/>
          </w:rPr>
          <w:t>2019</w:t>
        </w:r>
      </w:hyperlink>
      <w:r>
        <w:rPr>
          <w:color w:val="231F20"/>
        </w:rPr>
        <w:t>), which is particularly relevant in view of numerous aVN endings in the</w:t>
      </w:r>
      <w:r>
        <w:rPr>
          <w:color w:val="231F20"/>
          <w:spacing w:val="-1"/>
        </w:rPr>
        <w:t> </w:t>
      </w:r>
      <w:r>
        <w:rPr>
          <w:color w:val="231F20"/>
        </w:rPr>
        <w:t>ear.</w:t>
      </w:r>
    </w:p>
    <w:p>
      <w:pPr>
        <w:pStyle w:val="BodyText"/>
        <w:spacing w:line="213" w:lineRule="auto"/>
        <w:ind w:right="155" w:firstLine="229"/>
        <w:jc w:val="both"/>
      </w:pPr>
      <w:r>
        <w:rPr>
          <w:color w:val="231F20"/>
        </w:rPr>
        <w:t>Different models for transcutaneous and percutaneous </w:t>
      </w:r>
      <w:r>
        <w:rPr>
          <w:color w:val="231F20"/>
          <w:spacing w:val="-3"/>
        </w:rPr>
        <w:t>aVNS </w:t>
      </w:r>
      <w:r>
        <w:rPr>
          <w:color w:val="231F20"/>
        </w:rPr>
        <w:t>have been developed, which use multiple electrodes, consider spatiotemporal  electric  fields,  the   geometry   and   </w:t>
      </w:r>
      <w:r>
        <w:rPr>
          <w:color w:val="231F20"/>
          <w:spacing w:val="-3"/>
        </w:rPr>
        <w:t>properties </w:t>
      </w:r>
      <w:r>
        <w:rPr>
          <w:color w:val="231F20"/>
        </w:rPr>
        <w:t>of  embedded  nerves  (</w:t>
      </w:r>
      <w:hyperlink w:history="true" w:anchor="_bookmark56">
        <w:r>
          <w:rPr>
            <w:color w:val="6D6E71"/>
          </w:rPr>
          <w:t>Kuhn  et  al.</w:t>
        </w:r>
      </w:hyperlink>
      <w:r>
        <w:rPr>
          <w:color w:val="6D6E71"/>
        </w:rPr>
        <w:t>,  </w:t>
      </w:r>
      <w:hyperlink w:history="true" w:anchor="_bookmark56">
        <w:r>
          <w:rPr>
            <w:color w:val="6D6E71"/>
          </w:rPr>
          <w:t>2008</w:t>
        </w:r>
      </w:hyperlink>
      <w:r>
        <w:rPr>
          <w:color w:val="231F20"/>
        </w:rPr>
        <w:t>;  </w:t>
      </w:r>
      <w:hyperlink w:history="true" w:anchor="_bookmark91">
        <w:r>
          <w:rPr>
            <w:color w:val="6D6E71"/>
          </w:rPr>
          <w:t>Samoudi  et  </w:t>
        </w:r>
        <w:r>
          <w:rPr>
            <w:color w:val="6D6E71"/>
            <w:spacing w:val="-4"/>
          </w:rPr>
          <w:t>al.</w:t>
        </w:r>
      </w:hyperlink>
      <w:r>
        <w:rPr>
          <w:color w:val="6D6E71"/>
          <w:spacing w:val="-4"/>
        </w:rPr>
        <w:t>, </w:t>
      </w:r>
      <w:hyperlink w:history="true" w:anchor="_bookmark91">
        <w:r>
          <w:rPr>
            <w:color w:val="6D6E71"/>
          </w:rPr>
          <w:t>2017</w:t>
        </w:r>
      </w:hyperlink>
      <w:r>
        <w:rPr>
          <w:color w:val="6D6E71"/>
        </w:rPr>
        <w:t>, </w:t>
      </w:r>
      <w:hyperlink w:history="true" w:anchor="_bookmark89">
        <w:r>
          <w:rPr>
            <w:color w:val="6D6E71"/>
          </w:rPr>
          <w:t>2019</w:t>
        </w:r>
      </w:hyperlink>
      <w:r>
        <w:rPr>
          <w:color w:val="231F20"/>
        </w:rPr>
        <w:t>; </w:t>
      </w:r>
      <w:hyperlink w:history="true" w:anchor="_bookmark48">
        <w:r>
          <w:rPr>
            <w:color w:val="6D6E71"/>
          </w:rPr>
          <w:t>Kaniusas</w:t>
        </w:r>
      </w:hyperlink>
      <w:r>
        <w:rPr>
          <w:color w:val="6D6E71"/>
        </w:rPr>
        <w:t>, </w:t>
      </w:r>
      <w:hyperlink w:history="true" w:anchor="_bookmark48">
        <w:r>
          <w:rPr>
            <w:color w:val="6D6E71"/>
          </w:rPr>
          <w:t>2019</w:t>
        </w:r>
      </w:hyperlink>
      <w:r>
        <w:rPr>
          <w:color w:val="231F20"/>
        </w:rPr>
        <w:t>). These models allow numerical optimisation not only of an engineering aVNS solution (e.g.,    its electrode shape and the applied stimulation  pattern)  </w:t>
      </w:r>
      <w:r>
        <w:rPr>
          <w:color w:val="231F20"/>
          <w:spacing w:val="-4"/>
        </w:rPr>
        <w:t>but</w:t>
      </w:r>
      <w:r>
        <w:rPr>
          <w:color w:val="231F20"/>
          <w:spacing w:val="35"/>
        </w:rPr>
        <w:t> </w:t>
      </w:r>
      <w:r>
        <w:rPr>
          <w:color w:val="231F20"/>
        </w:rPr>
        <w:t>also of the electrophysiological impact (e.g., the percentage </w:t>
      </w:r>
      <w:r>
        <w:rPr>
          <w:color w:val="231F20"/>
          <w:spacing w:val="-6"/>
        </w:rPr>
        <w:t>of </w:t>
      </w:r>
      <w:r>
        <w:rPr>
          <w:color w:val="231F20"/>
        </w:rPr>
        <w:t>activated axons), and consequently of the potential therapeutic outcome of</w:t>
      </w:r>
      <w:r>
        <w:rPr>
          <w:color w:val="231F20"/>
          <w:spacing w:val="-1"/>
        </w:rPr>
        <w:t> </w:t>
      </w:r>
      <w:r>
        <w:rPr>
          <w:color w:val="231F20"/>
        </w:rPr>
        <w:t>aVNS.</w:t>
      </w:r>
    </w:p>
    <w:p>
      <w:pPr>
        <w:pStyle w:val="BodyText"/>
        <w:spacing w:line="213" w:lineRule="auto"/>
        <w:ind w:right="155" w:firstLine="229"/>
        <w:jc w:val="both"/>
      </w:pPr>
      <w:r>
        <w:rPr/>
        <w:pict>
          <v:shape style="position:absolute;margin-left:301.522552pt;margin-top:34.021488pt;width:251.05pt;height:35.050pt;mso-position-horizontal-relative:page;mso-position-vertical-relative:paragraph;z-index:2560" type="#_x0000_t202" filled="true" fillcolor="#fde164" stroked="false">
            <v:textbox inset="0,0,0,0">
              <w:txbxContent>
                <w:p>
                  <w:pPr>
                    <w:pStyle w:val="BodyText"/>
                    <w:spacing w:line="213" w:lineRule="auto" w:before="7"/>
                    <w:ind w:left="42" w:right="40"/>
                    <w:jc w:val="both"/>
                  </w:pPr>
                  <w:r>
                    <w:rPr>
                      <w:color w:val="231F20"/>
                    </w:rPr>
                    <w:t>monopolar aVNS offers the most diffuse stimulation with the lowest excitation threshold, bipolar and tripolar aVNS sharpen the stimulation focus but unfavorably increase the threshold</w:t>
                  </w:r>
                </w:p>
              </w:txbxContent>
            </v:textbox>
            <v:fill opacity="26214f" type="solid"/>
            <w10:wrap type="none"/>
          </v:shape>
        </w:pict>
      </w:r>
      <w:r>
        <w:rPr/>
        <w:pict>
          <v:shape style="position:absolute;margin-left:524.972046pt;margin-top:22.564489pt;width:27.6pt;height:11.5pt;mso-position-horizontal-relative:page;mso-position-vertical-relative:paragraph;z-index:-40888" type="#_x0000_t202" filled="true" fillcolor="#fde164" stroked="false">
            <v:textbox inset="0,0,0,0">
              <w:txbxContent>
                <w:p>
                  <w:pPr>
                    <w:pStyle w:val="BodyText"/>
                    <w:spacing w:line="229" w:lineRule="exact"/>
                    <w:ind w:left="42"/>
                  </w:pPr>
                  <w:r>
                    <w:rPr>
                      <w:color w:val="231F20"/>
                    </w:rPr>
                    <w:t>While</w:t>
                  </w:r>
                </w:p>
              </w:txbxContent>
            </v:textbox>
            <v:fill opacity="26214f" type="solid"/>
            <w10:wrap type="none"/>
          </v:shape>
        </w:pict>
      </w:r>
      <w:r>
        <w:rPr>
          <w:color w:val="231F20"/>
        </w:rPr>
        <w:t>In particular, the required number of used stimulation electrodes</w:t>
      </w:r>
      <w:r>
        <w:rPr>
          <w:color w:val="231F20"/>
          <w:spacing w:val="-5"/>
        </w:rPr>
        <w:t> </w:t>
      </w:r>
      <w:r>
        <w:rPr>
          <w:color w:val="231F20"/>
        </w:rPr>
        <w:t>for</w:t>
      </w:r>
      <w:r>
        <w:rPr>
          <w:color w:val="231F20"/>
          <w:spacing w:val="-4"/>
        </w:rPr>
        <w:t> </w:t>
      </w:r>
      <w:r>
        <w:rPr>
          <w:color w:val="231F20"/>
        </w:rPr>
        <w:t>aVNS</w:t>
      </w:r>
      <w:r>
        <w:rPr>
          <w:color w:val="231F20"/>
          <w:spacing w:val="-4"/>
        </w:rPr>
        <w:t> </w:t>
      </w:r>
      <w:r>
        <w:rPr>
          <w:color w:val="231F20"/>
        </w:rPr>
        <w:t>and</w:t>
      </w:r>
      <w:r>
        <w:rPr>
          <w:color w:val="231F20"/>
          <w:spacing w:val="-5"/>
        </w:rPr>
        <w:t> </w:t>
      </w:r>
      <w:r>
        <w:rPr>
          <w:color w:val="231F20"/>
        </w:rPr>
        <w:t>the</w:t>
      </w:r>
      <w:r>
        <w:rPr>
          <w:color w:val="231F20"/>
          <w:spacing w:val="-4"/>
        </w:rPr>
        <w:t> </w:t>
      </w:r>
      <w:r>
        <w:rPr>
          <w:color w:val="231F20"/>
        </w:rPr>
        <w:t>resulting</w:t>
      </w:r>
      <w:r>
        <w:rPr>
          <w:color w:val="231F20"/>
          <w:spacing w:val="-4"/>
        </w:rPr>
        <w:t> </w:t>
      </w:r>
      <w:r>
        <w:rPr>
          <w:color w:val="231F20"/>
        </w:rPr>
        <w:t>spatial</w:t>
      </w:r>
      <w:r>
        <w:rPr>
          <w:color w:val="231F20"/>
          <w:spacing w:val="-4"/>
        </w:rPr>
        <w:t> </w:t>
      </w:r>
      <w:r>
        <w:rPr>
          <w:color w:val="231F20"/>
        </w:rPr>
        <w:t>width</w:t>
      </w:r>
      <w:r>
        <w:rPr>
          <w:color w:val="231F20"/>
          <w:spacing w:val="-4"/>
        </w:rPr>
        <w:t> </w:t>
      </w:r>
      <w:r>
        <w:rPr>
          <w:color w:val="231F20"/>
        </w:rPr>
        <w:t>of</w:t>
      </w:r>
      <w:r>
        <w:rPr>
          <w:color w:val="231F20"/>
          <w:spacing w:val="-5"/>
        </w:rPr>
        <w:t> </w:t>
      </w:r>
      <w:r>
        <w:rPr>
          <w:color w:val="231F20"/>
        </w:rPr>
        <w:t>the</w:t>
      </w:r>
      <w:r>
        <w:rPr>
          <w:color w:val="231F20"/>
          <w:spacing w:val="-4"/>
        </w:rPr>
        <w:t> </w:t>
      </w:r>
      <w:r>
        <w:rPr>
          <w:color w:val="231F20"/>
        </w:rPr>
        <w:t>current distribution within the ear can be numerically</w:t>
      </w:r>
      <w:r>
        <w:rPr>
          <w:color w:val="231F20"/>
          <w:spacing w:val="14"/>
        </w:rPr>
        <w:t> </w:t>
      </w:r>
      <w:r>
        <w:rPr>
          <w:color w:val="231F20"/>
        </w:rPr>
        <w:t>optimized.</w:t>
      </w:r>
    </w:p>
    <w:p>
      <w:pPr>
        <w:pStyle w:val="BodyText"/>
        <w:ind w:left="0"/>
        <w:rPr>
          <w:sz w:val="24"/>
        </w:rPr>
      </w:pPr>
    </w:p>
    <w:p>
      <w:pPr>
        <w:pStyle w:val="BodyText"/>
        <w:spacing w:before="1"/>
        <w:ind w:left="0"/>
        <w:rPr>
          <w:sz w:val="27"/>
        </w:rPr>
      </w:pPr>
    </w:p>
    <w:p>
      <w:pPr>
        <w:pStyle w:val="BodyText"/>
        <w:spacing w:line="213" w:lineRule="auto"/>
        <w:ind w:right="155" w:firstLine="3332"/>
        <w:jc w:val="both"/>
      </w:pPr>
      <w:r>
        <w:rPr/>
        <w:pict>
          <v:shape style="position:absolute;margin-left:301.522552pt;margin-top:.324793pt;width:169.2pt;height:11.5pt;mso-position-horizontal-relative:page;mso-position-vertical-relative:paragraph;z-index:-40936" type="#_x0000_t202" filled="true" fillcolor="#fde164" stroked="false">
            <v:textbox inset="0,0,0,0">
              <w:txbxContent>
                <w:p>
                  <w:pPr>
                    <w:pStyle w:val="BodyText"/>
                    <w:spacing w:line="229" w:lineRule="exact"/>
                    <w:ind w:left="42"/>
                  </w:pPr>
                  <w:r>
                    <w:rPr>
                      <w:color w:val="231F20"/>
                    </w:rPr>
                    <w:t>(</w:t>
                  </w:r>
                  <w:hyperlink w:history="true" w:anchor="_bookmark83">
                    <w:r>
                      <w:rPr>
                        <w:color w:val="6D6E71"/>
                      </w:rPr>
                      <w:t>Reilly and Diamant</w:t>
                    </w:r>
                  </w:hyperlink>
                  <w:r>
                    <w:rPr>
                      <w:color w:val="6D6E71"/>
                    </w:rPr>
                    <w:t>, </w:t>
                  </w:r>
                  <w:hyperlink w:history="true" w:anchor="_bookmark83">
                    <w:r>
                      <w:rPr>
                        <w:color w:val="6D6E71"/>
                      </w:rPr>
                      <w:t>2011</w:t>
                    </w:r>
                  </w:hyperlink>
                  <w:r>
                    <w:rPr>
                      <w:color w:val="231F20"/>
                    </w:rPr>
                    <w:t>; </w:t>
                  </w:r>
                  <w:hyperlink w:history="true" w:anchor="_bookmark48">
                    <w:r>
                      <w:rPr>
                        <w:color w:val="6D6E71"/>
                      </w:rPr>
                      <w:t>Kaniusas</w:t>
                    </w:r>
                  </w:hyperlink>
                  <w:r>
                    <w:rPr>
                      <w:color w:val="6D6E71"/>
                    </w:rPr>
                    <w:t>, </w:t>
                  </w:r>
                  <w:hyperlink w:history="true" w:anchor="_bookmark48">
                    <w:r>
                      <w:rPr>
                        <w:color w:val="6D6E71"/>
                      </w:rPr>
                      <w:t>2019</w:t>
                    </w:r>
                  </w:hyperlink>
                  <w:r>
                    <w:rPr>
                      <w:color w:val="231F20"/>
                    </w:rPr>
                    <w:t>).</w:t>
                  </w:r>
                </w:p>
              </w:txbxContent>
            </v:textbox>
            <v:fill opacity="26214f" type="solid"/>
            <w10:wrap type="none"/>
          </v:shape>
        </w:pict>
      </w:r>
      <w:r>
        <w:rPr>
          <w:color w:val="231F20"/>
        </w:rPr>
        <w:t>In</w:t>
      </w:r>
      <w:r>
        <w:rPr>
          <w:color w:val="231F20"/>
          <w:spacing w:val="-14"/>
        </w:rPr>
        <w:t> </w:t>
      </w:r>
      <w:r>
        <w:rPr>
          <w:color w:val="231F20"/>
        </w:rPr>
        <w:t>fact,</w:t>
      </w:r>
      <w:r>
        <w:rPr>
          <w:color w:val="231F20"/>
          <w:spacing w:val="-13"/>
        </w:rPr>
        <w:t> </w:t>
      </w:r>
      <w:r>
        <w:rPr>
          <w:color w:val="231F20"/>
        </w:rPr>
        <w:t>the</w:t>
      </w:r>
      <w:r>
        <w:rPr>
          <w:color w:val="231F20"/>
          <w:spacing w:val="-13"/>
        </w:rPr>
        <w:t> </w:t>
      </w:r>
      <w:r>
        <w:rPr>
          <w:color w:val="231F20"/>
        </w:rPr>
        <w:t>diffusivity should be potentially restricted to aVN regions in the ear (</w:t>
      </w:r>
      <w:hyperlink w:history="true" w:anchor="_bookmark1">
        <w:r>
          <w:rPr>
            <w:b/>
            <w:color w:val="231F20"/>
          </w:rPr>
          <w:t>Figure 1A</w:t>
        </w:r>
      </w:hyperlink>
      <w:r>
        <w:rPr>
          <w:color w:val="231F20"/>
        </w:rPr>
        <w:t>) to avoid stimulation of non-vagal nerves in the ear and to reach reproducible aVN-gated</w:t>
      </w:r>
      <w:r>
        <w:rPr>
          <w:color w:val="231F20"/>
          <w:spacing w:val="-2"/>
        </w:rPr>
        <w:t> </w:t>
      </w:r>
      <w:r>
        <w:rPr>
          <w:color w:val="231F20"/>
        </w:rPr>
        <w:t>effects.</w:t>
      </w:r>
    </w:p>
    <w:p>
      <w:pPr>
        <w:spacing w:after="0" w:line="213" w:lineRule="auto"/>
        <w:jc w:val="both"/>
        <w:sectPr>
          <w:type w:val="continuous"/>
          <w:pgSz w:w="11910" w:h="15600"/>
          <w:pgMar w:top="520" w:bottom="780" w:left="740" w:right="740"/>
          <w:cols w:num="2" w:equalWidth="0">
            <w:col w:w="5095" w:space="79"/>
            <w:col w:w="5256"/>
          </w:cols>
        </w:sectPr>
      </w:pPr>
    </w:p>
    <w:p>
      <w:pPr>
        <w:pStyle w:val="BodyText"/>
        <w:spacing w:before="6"/>
        <w:ind w:left="0"/>
        <w:rPr>
          <w:sz w:val="29"/>
        </w:rPr>
      </w:pPr>
    </w:p>
    <w:p>
      <w:pPr>
        <w:pStyle w:val="BodyText"/>
        <w:rPr>
          <w:sz w:val="20"/>
        </w:rPr>
      </w:pPr>
      <w:r>
        <w:rPr>
          <w:sz w:val="20"/>
        </w:rPr>
        <w:pict>
          <v:group style="width:505.45pt;height:254.15pt;mso-position-horizontal-relative:char;mso-position-vertical-relative:line" coordorigin="0,0" coordsize="10109,5083">
            <v:shape style="position:absolute;left:1875;top:124;width:6532;height:3300" type="#_x0000_t75" stroked="false">
              <v:imagedata r:id="rId42" o:title=""/>
            </v:shape>
            <v:shape style="position:absolute;left:5707;top:165;width:91;height:108" type="#_x0000_t75" stroked="false">
              <v:imagedata r:id="rId43" o:title=""/>
            </v:shape>
            <v:shape style="position:absolute;left:2;top:2;width:10104;height:5078" type="#_x0000_t202" filled="false" stroked="true" strokeweight=".249pt" strokecolor="#000000">
              <v:textbox inset="0,0,0,0">
                <w:txbxContent>
                  <w:p>
                    <w:pPr>
                      <w:spacing w:line="240" w:lineRule="auto" w:before="10" w:after="0"/>
                      <w:rPr>
                        <w:sz w:val="11"/>
                      </w:rPr>
                    </w:pPr>
                  </w:p>
                  <w:p>
                    <w:pPr>
                      <w:spacing w:line="105" w:lineRule="exact"/>
                      <w:ind w:left="1653" w:right="0" w:firstLine="0"/>
                      <w:rPr>
                        <w:sz w:val="10"/>
                      </w:rPr>
                    </w:pPr>
                    <w:r>
                      <w:rPr>
                        <w:position w:val="-1"/>
                        <w:sz w:val="10"/>
                      </w:rPr>
                      <w:drawing>
                        <wp:inline distT="0" distB="0" distL="0" distR="0">
                          <wp:extent cx="67088" cy="67055"/>
                          <wp:effectExtent l="0" t="0" r="0" b="0"/>
                          <wp:docPr id="5" name="image14.png" descr=""/>
                          <wp:cNvGraphicFramePr>
                            <a:graphicFrameLocks noChangeAspect="1"/>
                          </wp:cNvGraphicFramePr>
                          <a:graphic>
                            <a:graphicData uri="http://schemas.openxmlformats.org/drawingml/2006/picture">
                              <pic:pic>
                                <pic:nvPicPr>
                                  <pic:cNvPr id="6" name="image14.png"/>
                                  <pic:cNvPicPr/>
                                </pic:nvPicPr>
                                <pic:blipFill>
                                  <a:blip r:embed="rId44" cstate="print"/>
                                  <a:stretch>
                                    <a:fillRect/>
                                  </a:stretch>
                                </pic:blipFill>
                                <pic:spPr>
                                  <a:xfrm>
                                    <a:off x="0" y="0"/>
                                    <a:ext cx="67088" cy="67055"/>
                                  </a:xfrm>
                                  <a:prstGeom prst="rect">
                                    <a:avLst/>
                                  </a:prstGeom>
                                </pic:spPr>
                              </pic:pic>
                            </a:graphicData>
                          </a:graphic>
                        </wp:inline>
                      </w:drawing>
                    </w:r>
                    <w:r>
                      <w:rPr>
                        <w:position w:val="-1"/>
                        <w:sz w:val="10"/>
                      </w:rPr>
                    </w: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9"/>
                      <w:rPr>
                        <w:sz w:val="13"/>
                      </w:rPr>
                    </w:pPr>
                  </w:p>
                  <w:p>
                    <w:pPr>
                      <w:spacing w:line="278" w:lineRule="auto" w:before="0"/>
                      <w:ind w:left="119" w:right="102" w:firstLine="0"/>
                      <w:jc w:val="left"/>
                      <w:rPr>
                        <w:rFonts w:ascii="Arial" w:hAnsi="Arial" w:cs="Arial" w:eastAsia="Arial"/>
                        <w:sz w:val="14"/>
                        <w:szCs w:val="14"/>
                      </w:rPr>
                    </w:pPr>
                    <w:bookmarkStart w:name="_bookmark4" w:id="14"/>
                    <w:bookmarkEnd w:id="14"/>
                    <w:r>
                      <w:rPr/>
                    </w:r>
                    <w:r>
                      <w:rPr>
                        <w:rFonts w:ascii="Arial" w:hAnsi="Arial" w:cs="Arial" w:eastAsia="Arial"/>
                        <w:color w:val="231F20"/>
                        <w:sz w:val="14"/>
                        <w:szCs w:val="14"/>
                      </w:rPr>
                      <w:t>FIGURE 4 | Numerical modeling of aVNS with three stimulation electrodes. (A) Basic model of the tripolar stimulation with surface current electrodes. A single cathode</w:t>
                    </w:r>
                    <w:r>
                      <w:rPr>
                        <w:rFonts w:ascii="Arial" w:hAnsi="Arial" w:cs="Arial" w:eastAsia="Arial"/>
                        <w:color w:val="231F20"/>
                        <w:spacing w:val="-12"/>
                        <w:sz w:val="14"/>
                        <w:szCs w:val="14"/>
                      </w:rPr>
                      <w:t> </w:t>
                    </w:r>
                    <w:r>
                      <w:rPr>
                        <w:rFonts w:ascii="Arial" w:hAnsi="Arial" w:cs="Arial" w:eastAsia="Arial"/>
                        <w:color w:val="231F20"/>
                        <w:sz w:val="14"/>
                        <w:szCs w:val="14"/>
                      </w:rPr>
                      <w:t>carries</w:t>
                    </w:r>
                    <w:r>
                      <w:rPr>
                        <w:rFonts w:ascii="Arial" w:hAnsi="Arial" w:cs="Arial" w:eastAsia="Arial"/>
                        <w:color w:val="231F20"/>
                        <w:spacing w:val="-10"/>
                        <w:sz w:val="14"/>
                        <w:szCs w:val="14"/>
                      </w:rPr>
                      <w:t> </w:t>
                    </w:r>
                    <w:r>
                      <w:rPr>
                        <w:rFonts w:ascii="Arial" w:hAnsi="Arial" w:cs="Arial" w:eastAsia="Arial"/>
                        <w:color w:val="231F20"/>
                        <w:sz w:val="14"/>
                        <w:szCs w:val="14"/>
                      </w:rPr>
                      <w:t>the</w:t>
                    </w:r>
                    <w:r>
                      <w:rPr>
                        <w:rFonts w:ascii="Arial" w:hAnsi="Arial" w:cs="Arial" w:eastAsia="Arial"/>
                        <w:color w:val="231F20"/>
                        <w:spacing w:val="-11"/>
                        <w:sz w:val="14"/>
                        <w:szCs w:val="14"/>
                      </w:rPr>
                      <w:t> </w:t>
                    </w:r>
                    <w:r>
                      <w:rPr>
                        <w:rFonts w:ascii="Arial" w:hAnsi="Arial" w:cs="Arial" w:eastAsia="Arial"/>
                        <w:color w:val="231F20"/>
                        <w:sz w:val="14"/>
                        <w:szCs w:val="14"/>
                      </w:rPr>
                      <w:t>current</w:t>
                    </w:r>
                    <w:r>
                      <w:rPr>
                        <w:rFonts w:ascii="Arial" w:hAnsi="Arial" w:cs="Arial" w:eastAsia="Arial"/>
                        <w:color w:val="231F20"/>
                        <w:spacing w:val="-12"/>
                        <w:sz w:val="14"/>
                        <w:szCs w:val="14"/>
                      </w:rPr>
                      <w:t> </w:t>
                    </w:r>
                    <w:r>
                      <w:rPr>
                        <w:rFonts w:ascii="Arial" w:hAnsi="Arial" w:cs="Arial" w:eastAsia="Arial"/>
                        <w:i/>
                        <w:color w:val="231F20"/>
                        <w:sz w:val="14"/>
                        <w:szCs w:val="14"/>
                      </w:rPr>
                      <w:t>i</w:t>
                    </w:r>
                    <w:r>
                      <w:rPr>
                        <w:rFonts w:ascii="Arial" w:hAnsi="Arial" w:cs="Arial" w:eastAsia="Arial"/>
                        <w:i/>
                        <w:color w:val="231F20"/>
                        <w:spacing w:val="-9"/>
                        <w:sz w:val="14"/>
                        <w:szCs w:val="14"/>
                      </w:rPr>
                      <w:t> </w:t>
                    </w:r>
                    <w:r>
                      <w:rPr>
                        <w:rFonts w:ascii="Arial" w:hAnsi="Arial" w:cs="Arial" w:eastAsia="Arial"/>
                        <w:color w:val="231F20"/>
                        <w:sz w:val="14"/>
                        <w:szCs w:val="14"/>
                      </w:rPr>
                      <w:t>(=1</w:t>
                    </w:r>
                    <w:r>
                      <w:rPr>
                        <w:rFonts w:ascii="Arial" w:hAnsi="Arial" w:cs="Arial" w:eastAsia="Arial"/>
                        <w:color w:val="231F20"/>
                        <w:spacing w:val="-11"/>
                        <w:sz w:val="14"/>
                        <w:szCs w:val="14"/>
                      </w:rPr>
                      <w:t> </w:t>
                    </w:r>
                    <w:r>
                      <w:rPr>
                        <w:rFonts w:ascii="Arial" w:hAnsi="Arial" w:cs="Arial" w:eastAsia="Arial"/>
                        <w:color w:val="231F20"/>
                        <w:sz w:val="14"/>
                        <w:szCs w:val="14"/>
                      </w:rPr>
                      <w:t>mA)</w:t>
                    </w:r>
                    <w:r>
                      <w:rPr>
                        <w:rFonts w:ascii="Arial" w:hAnsi="Arial" w:cs="Arial" w:eastAsia="Arial"/>
                        <w:color w:val="231F20"/>
                        <w:spacing w:val="-10"/>
                        <w:sz w:val="14"/>
                        <w:szCs w:val="14"/>
                      </w:rPr>
                      <w:t> </w:t>
                    </w:r>
                    <w:r>
                      <w:rPr>
                        <w:rFonts w:ascii="Arial" w:hAnsi="Arial" w:cs="Arial" w:eastAsia="Arial"/>
                        <w:color w:val="231F20"/>
                        <w:sz w:val="14"/>
                        <w:szCs w:val="14"/>
                      </w:rPr>
                      <w:t>and</w:t>
                    </w:r>
                    <w:r>
                      <w:rPr>
                        <w:rFonts w:ascii="Arial" w:hAnsi="Arial" w:cs="Arial" w:eastAsia="Arial"/>
                        <w:color w:val="231F20"/>
                        <w:spacing w:val="-12"/>
                        <w:sz w:val="14"/>
                        <w:szCs w:val="14"/>
                      </w:rPr>
                      <w:t> </w:t>
                    </w:r>
                    <w:r>
                      <w:rPr>
                        <w:rFonts w:ascii="Arial" w:hAnsi="Arial" w:cs="Arial" w:eastAsia="Arial"/>
                        <w:color w:val="231F20"/>
                        <w:sz w:val="14"/>
                        <w:szCs w:val="14"/>
                      </w:rPr>
                      <w:t>the</w:t>
                    </w:r>
                    <w:r>
                      <w:rPr>
                        <w:rFonts w:ascii="Arial" w:hAnsi="Arial" w:cs="Arial" w:eastAsia="Arial"/>
                        <w:color w:val="231F20"/>
                        <w:spacing w:val="-10"/>
                        <w:sz w:val="14"/>
                        <w:szCs w:val="14"/>
                      </w:rPr>
                      <w:t> </w:t>
                    </w:r>
                    <w:r>
                      <w:rPr>
                        <w:rFonts w:ascii="Arial" w:hAnsi="Arial" w:cs="Arial" w:eastAsia="Arial"/>
                        <w:color w:val="231F20"/>
                        <w:sz w:val="14"/>
                        <w:szCs w:val="14"/>
                      </w:rPr>
                      <w:t>two</w:t>
                    </w:r>
                    <w:r>
                      <w:rPr>
                        <w:rFonts w:ascii="Arial" w:hAnsi="Arial" w:cs="Arial" w:eastAsia="Arial"/>
                        <w:color w:val="231F20"/>
                        <w:spacing w:val="-11"/>
                        <w:sz w:val="14"/>
                        <w:szCs w:val="14"/>
                      </w:rPr>
                      <w:t> </w:t>
                    </w:r>
                    <w:r>
                      <w:rPr>
                        <w:rFonts w:ascii="Arial" w:hAnsi="Arial" w:cs="Arial" w:eastAsia="Arial"/>
                        <w:color w:val="231F20"/>
                        <w:sz w:val="14"/>
                        <w:szCs w:val="14"/>
                      </w:rPr>
                      <w:t>surrounding</w:t>
                    </w:r>
                    <w:r>
                      <w:rPr>
                        <w:rFonts w:ascii="Arial" w:hAnsi="Arial" w:cs="Arial" w:eastAsia="Arial"/>
                        <w:color w:val="231F20"/>
                        <w:spacing w:val="-12"/>
                        <w:sz w:val="14"/>
                        <w:szCs w:val="14"/>
                      </w:rPr>
                      <w:t> </w:t>
                    </w:r>
                    <w:r>
                      <w:rPr>
                        <w:rFonts w:ascii="Arial" w:hAnsi="Arial" w:cs="Arial" w:eastAsia="Arial"/>
                        <w:color w:val="231F20"/>
                        <w:sz w:val="14"/>
                        <w:szCs w:val="14"/>
                      </w:rPr>
                      <w:t>anodes</w:t>
                    </w:r>
                    <w:r>
                      <w:rPr>
                        <w:rFonts w:ascii="Arial" w:hAnsi="Arial" w:cs="Arial" w:eastAsia="Arial"/>
                        <w:color w:val="231F20"/>
                        <w:spacing w:val="-11"/>
                        <w:sz w:val="14"/>
                        <w:szCs w:val="14"/>
                      </w:rPr>
                      <w:t> </w:t>
                    </w:r>
                    <w:r>
                      <w:rPr>
                        <w:rFonts w:ascii="Arial" w:hAnsi="Arial" w:cs="Arial" w:eastAsia="Arial"/>
                        <w:i/>
                        <w:color w:val="231F20"/>
                        <w:sz w:val="14"/>
                        <w:szCs w:val="14"/>
                      </w:rPr>
                      <w:t>i</w:t>
                    </w:r>
                    <w:r>
                      <w:rPr>
                        <w:rFonts w:ascii="Arial" w:hAnsi="Arial" w:cs="Arial" w:eastAsia="Arial"/>
                        <w:color w:val="231F20"/>
                        <w:sz w:val="14"/>
                        <w:szCs w:val="14"/>
                      </w:rPr>
                      <w:t>/2</w:t>
                    </w:r>
                    <w:r>
                      <w:rPr>
                        <w:rFonts w:ascii="Arial" w:hAnsi="Arial" w:cs="Arial" w:eastAsia="Arial"/>
                        <w:color w:val="231F20"/>
                        <w:spacing w:val="-11"/>
                        <w:sz w:val="14"/>
                        <w:szCs w:val="14"/>
                      </w:rPr>
                      <w:t> </w:t>
                    </w:r>
                    <w:r>
                      <w:rPr>
                        <w:rFonts w:ascii="Arial" w:hAnsi="Arial" w:cs="Arial" w:eastAsia="Arial"/>
                        <w:color w:val="231F20"/>
                        <w:sz w:val="14"/>
                        <w:szCs w:val="14"/>
                      </w:rPr>
                      <w:t>each.</w:t>
                    </w:r>
                    <w:r>
                      <w:rPr>
                        <w:rFonts w:ascii="Arial" w:hAnsi="Arial" w:cs="Arial" w:eastAsia="Arial"/>
                        <w:color w:val="231F20"/>
                        <w:spacing w:val="-11"/>
                        <w:sz w:val="14"/>
                        <w:szCs w:val="14"/>
                      </w:rPr>
                      <w:t> </w:t>
                    </w:r>
                    <w:r>
                      <w:rPr>
                        <w:rFonts w:ascii="Arial" w:hAnsi="Arial" w:cs="Arial" w:eastAsia="Arial"/>
                        <w:color w:val="231F20"/>
                        <w:sz w:val="14"/>
                        <w:szCs w:val="14"/>
                      </w:rPr>
                      <w:t>The</w:t>
                    </w:r>
                    <w:r>
                      <w:rPr>
                        <w:rFonts w:ascii="Arial" w:hAnsi="Arial" w:cs="Arial" w:eastAsia="Arial"/>
                        <w:color w:val="231F20"/>
                        <w:spacing w:val="-11"/>
                        <w:sz w:val="14"/>
                        <w:szCs w:val="14"/>
                      </w:rPr>
                      <w:t> </w:t>
                    </w:r>
                    <w:r>
                      <w:rPr>
                        <w:rFonts w:ascii="Arial" w:hAnsi="Arial" w:cs="Arial" w:eastAsia="Arial"/>
                        <w:color w:val="231F20"/>
                        <w:sz w:val="14"/>
                        <w:szCs w:val="14"/>
                      </w:rPr>
                      <w:t>unmyelinated</w:t>
                    </w:r>
                    <w:r>
                      <w:rPr>
                        <w:rFonts w:ascii="Arial" w:hAnsi="Arial" w:cs="Arial" w:eastAsia="Arial"/>
                        <w:color w:val="231F20"/>
                        <w:spacing w:val="-11"/>
                        <w:sz w:val="14"/>
                        <w:szCs w:val="14"/>
                      </w:rPr>
                      <w:t> </w:t>
                    </w:r>
                    <w:r>
                      <w:rPr>
                        <w:rFonts w:ascii="Arial" w:hAnsi="Arial" w:cs="Arial" w:eastAsia="Arial"/>
                        <w:color w:val="231F20"/>
                        <w:sz w:val="14"/>
                        <w:szCs w:val="14"/>
                      </w:rPr>
                      <w:t>axon</w:t>
                    </w:r>
                    <w:r>
                      <w:rPr>
                        <w:rFonts w:ascii="Arial" w:hAnsi="Arial" w:cs="Arial" w:eastAsia="Arial"/>
                        <w:color w:val="231F20"/>
                        <w:spacing w:val="-11"/>
                        <w:sz w:val="14"/>
                        <w:szCs w:val="14"/>
                      </w:rPr>
                      <w:t> </w:t>
                    </w:r>
                    <w:r>
                      <w:rPr>
                        <w:rFonts w:ascii="Arial" w:hAnsi="Arial" w:cs="Arial" w:eastAsia="Arial"/>
                        <w:color w:val="231F20"/>
                        <w:sz w:val="14"/>
                        <w:szCs w:val="14"/>
                      </w:rPr>
                      <w:t>lays</w:t>
                    </w:r>
                    <w:r>
                      <w:rPr>
                        <w:rFonts w:ascii="Arial" w:hAnsi="Arial" w:cs="Arial" w:eastAsia="Arial"/>
                        <w:color w:val="231F20"/>
                        <w:spacing w:val="-11"/>
                        <w:sz w:val="14"/>
                        <w:szCs w:val="14"/>
                      </w:rPr>
                      <w:t> </w:t>
                    </w:r>
                    <w:r>
                      <w:rPr>
                        <w:rFonts w:ascii="Arial" w:hAnsi="Arial" w:cs="Arial" w:eastAsia="Arial"/>
                        <w:color w:val="231F20"/>
                        <w:sz w:val="14"/>
                        <w:szCs w:val="14"/>
                      </w:rPr>
                      <w:t>in</w:t>
                    </w:r>
                    <w:r>
                      <w:rPr>
                        <w:rFonts w:ascii="Arial" w:hAnsi="Arial" w:cs="Arial" w:eastAsia="Arial"/>
                        <w:color w:val="231F20"/>
                        <w:spacing w:val="-10"/>
                        <w:sz w:val="14"/>
                        <w:szCs w:val="14"/>
                      </w:rPr>
                      <w:t> </w:t>
                    </w:r>
                    <w:r>
                      <w:rPr>
                        <w:rFonts w:ascii="Arial" w:hAnsi="Arial" w:cs="Arial" w:eastAsia="Arial"/>
                        <w:color w:val="231F20"/>
                        <w:sz w:val="14"/>
                        <w:szCs w:val="14"/>
                      </w:rPr>
                      <w:t>parallel</w:t>
                    </w:r>
                    <w:r>
                      <w:rPr>
                        <w:rFonts w:ascii="Arial" w:hAnsi="Arial" w:cs="Arial" w:eastAsia="Arial"/>
                        <w:color w:val="231F20"/>
                        <w:spacing w:val="-12"/>
                        <w:sz w:val="14"/>
                        <w:szCs w:val="14"/>
                      </w:rPr>
                      <w:t> </w:t>
                    </w:r>
                    <w:r>
                      <w:rPr>
                        <w:rFonts w:ascii="Arial" w:hAnsi="Arial" w:cs="Arial" w:eastAsia="Arial"/>
                        <w:color w:val="231F20"/>
                        <w:sz w:val="14"/>
                        <w:szCs w:val="14"/>
                      </w:rPr>
                      <w:t>to</w:t>
                    </w:r>
                    <w:r>
                      <w:rPr>
                        <w:rFonts w:ascii="Arial" w:hAnsi="Arial" w:cs="Arial" w:eastAsia="Arial"/>
                        <w:color w:val="231F20"/>
                        <w:spacing w:val="-11"/>
                        <w:sz w:val="14"/>
                        <w:szCs w:val="14"/>
                      </w:rPr>
                      <w:t> </w:t>
                    </w:r>
                    <w:r>
                      <w:rPr>
                        <w:rFonts w:ascii="Arial" w:hAnsi="Arial" w:cs="Arial" w:eastAsia="Arial"/>
                        <w:color w:val="231F20"/>
                        <w:sz w:val="14"/>
                        <w:szCs w:val="14"/>
                      </w:rPr>
                      <w:t>electrodes</w:t>
                    </w:r>
                    <w:r>
                      <w:rPr>
                        <w:rFonts w:ascii="Arial" w:hAnsi="Arial" w:cs="Arial" w:eastAsia="Arial"/>
                        <w:color w:val="231F20"/>
                        <w:spacing w:val="-10"/>
                        <w:sz w:val="14"/>
                        <w:szCs w:val="14"/>
                      </w:rPr>
                      <w:t> </w:t>
                    </w:r>
                    <w:r>
                      <w:rPr>
                        <w:rFonts w:ascii="Arial" w:hAnsi="Arial" w:cs="Arial" w:eastAsia="Arial"/>
                        <w:color w:val="231F20"/>
                        <w:sz w:val="14"/>
                        <w:szCs w:val="14"/>
                      </w:rPr>
                      <w:t>at</w:t>
                    </w:r>
                    <w:r>
                      <w:rPr>
                        <w:rFonts w:ascii="Arial" w:hAnsi="Arial" w:cs="Arial" w:eastAsia="Arial"/>
                        <w:color w:val="231F20"/>
                        <w:spacing w:val="-12"/>
                        <w:sz w:val="14"/>
                        <w:szCs w:val="14"/>
                      </w:rPr>
                      <w:t> </w:t>
                    </w:r>
                    <w:r>
                      <w:rPr>
                        <w:rFonts w:ascii="Arial" w:hAnsi="Arial" w:cs="Arial" w:eastAsia="Arial"/>
                        <w:color w:val="231F20"/>
                        <w:sz w:val="14"/>
                        <w:szCs w:val="14"/>
                      </w:rPr>
                      <w:t>the</w:t>
                    </w:r>
                    <w:r>
                      <w:rPr>
                        <w:rFonts w:ascii="Arial" w:hAnsi="Arial" w:cs="Arial" w:eastAsia="Arial"/>
                        <w:color w:val="231F20"/>
                        <w:spacing w:val="-10"/>
                        <w:sz w:val="14"/>
                        <w:szCs w:val="14"/>
                      </w:rPr>
                      <w:t> </w:t>
                    </w:r>
                    <w:r>
                      <w:rPr>
                        <w:rFonts w:ascii="Arial" w:hAnsi="Arial" w:cs="Arial" w:eastAsia="Arial"/>
                        <w:color w:val="231F20"/>
                        <w:sz w:val="14"/>
                        <w:szCs w:val="14"/>
                      </w:rPr>
                      <w:t>depth</w:t>
                    </w:r>
                    <w:r>
                      <w:rPr>
                        <w:rFonts w:ascii="Arial" w:hAnsi="Arial" w:cs="Arial" w:eastAsia="Arial"/>
                        <w:color w:val="231F20"/>
                        <w:spacing w:val="-11"/>
                        <w:sz w:val="14"/>
                        <w:szCs w:val="14"/>
                      </w:rPr>
                      <w:t> </w:t>
                    </w:r>
                    <w:r>
                      <w:rPr>
                        <w:rFonts w:ascii="Arial" w:hAnsi="Arial" w:cs="Arial" w:eastAsia="Arial"/>
                        <w:color w:val="231F20"/>
                        <w:sz w:val="14"/>
                        <w:szCs w:val="14"/>
                      </w:rPr>
                      <w:t>of</w:t>
                    </w:r>
                    <w:r>
                      <w:rPr>
                        <w:rFonts w:ascii="Arial" w:hAnsi="Arial" w:cs="Arial" w:eastAsia="Arial"/>
                        <w:color w:val="231F20"/>
                        <w:spacing w:val="-12"/>
                        <w:sz w:val="14"/>
                        <w:szCs w:val="14"/>
                      </w:rPr>
                      <w:t> </w:t>
                    </w:r>
                    <w:r>
                      <w:rPr>
                        <w:rFonts w:ascii="Arial" w:hAnsi="Arial" w:cs="Arial" w:eastAsia="Arial"/>
                        <w:color w:val="231F20"/>
                        <w:sz w:val="14"/>
                        <w:szCs w:val="14"/>
                      </w:rPr>
                      <w:t>2</w:t>
                    </w:r>
                    <w:r>
                      <w:rPr>
                        <w:rFonts w:ascii="Arial" w:hAnsi="Arial" w:cs="Arial" w:eastAsia="Arial"/>
                        <w:color w:val="231F20"/>
                        <w:spacing w:val="-10"/>
                        <w:sz w:val="14"/>
                        <w:szCs w:val="14"/>
                      </w:rPr>
                      <w:t> </w:t>
                    </w:r>
                    <w:r>
                      <w:rPr>
                        <w:rFonts w:ascii="Arial" w:hAnsi="Arial" w:cs="Arial" w:eastAsia="Arial"/>
                        <w:color w:val="231F20"/>
                        <w:sz w:val="14"/>
                        <w:szCs w:val="14"/>
                      </w:rPr>
                      <w:t>mm.</w:t>
                    </w:r>
                    <w:r>
                      <w:rPr>
                        <w:rFonts w:ascii="Arial" w:hAnsi="Arial" w:cs="Arial" w:eastAsia="Arial"/>
                        <w:color w:val="231F20"/>
                        <w:spacing w:val="-11"/>
                        <w:sz w:val="14"/>
                        <w:szCs w:val="14"/>
                      </w:rPr>
                      <w:t> </w:t>
                    </w:r>
                    <w:r>
                      <w:rPr>
                        <w:rFonts w:ascii="Arial" w:hAnsi="Arial" w:cs="Arial" w:eastAsia="Arial"/>
                        <w:color w:val="231F20"/>
                        <w:sz w:val="14"/>
                        <w:szCs w:val="14"/>
                      </w:rPr>
                      <w:t>Activating functions</w:t>
                    </w:r>
                    <w:r>
                      <w:rPr>
                        <w:rFonts w:ascii="Arial" w:hAnsi="Arial" w:cs="Arial" w:eastAsia="Arial"/>
                        <w:color w:val="231F20"/>
                        <w:spacing w:val="-12"/>
                        <w:sz w:val="14"/>
                        <w:szCs w:val="14"/>
                      </w:rPr>
                      <w:t> </w:t>
                    </w:r>
                    <w:r>
                      <w:rPr>
                        <w:rFonts w:ascii="Arial" w:hAnsi="Arial" w:cs="Arial" w:eastAsia="Arial"/>
                        <w:i/>
                        <w:color w:val="231F20"/>
                        <w:sz w:val="14"/>
                        <w:szCs w:val="14"/>
                      </w:rPr>
                      <w:t>f</w:t>
                    </w:r>
                    <w:r>
                      <w:rPr>
                        <w:rFonts w:ascii="Arial" w:hAnsi="Arial" w:cs="Arial" w:eastAsia="Arial"/>
                        <w:i/>
                        <w:color w:val="231F20"/>
                        <w:spacing w:val="-30"/>
                        <w:sz w:val="14"/>
                        <w:szCs w:val="14"/>
                      </w:rPr>
                      <w:t> </w:t>
                    </w:r>
                    <w:r>
                      <w:rPr>
                        <w:rFonts w:ascii="Arial" w:hAnsi="Arial" w:cs="Arial" w:eastAsia="Arial"/>
                        <w:color w:val="231F20"/>
                        <w:sz w:val="14"/>
                        <w:szCs w:val="14"/>
                      </w:rPr>
                      <w:t>(</w:t>
                    </w:r>
                    <w:r>
                      <w:rPr>
                        <w:rFonts w:ascii="Arial" w:hAnsi="Arial" w:cs="Arial" w:eastAsia="Arial"/>
                        <w:i/>
                        <w:color w:val="231F20"/>
                        <w:sz w:val="14"/>
                        <w:szCs w:val="14"/>
                      </w:rPr>
                      <w:t>x</w:t>
                    </w:r>
                    <w:r>
                      <w:rPr>
                        <w:rFonts w:ascii="Arial" w:hAnsi="Arial" w:cs="Arial" w:eastAsia="Arial"/>
                        <w:color w:val="231F20"/>
                        <w:sz w:val="14"/>
                        <w:szCs w:val="14"/>
                      </w:rPr>
                      <w:t>)</w:t>
                    </w:r>
                    <w:r>
                      <w:rPr>
                        <w:rFonts w:ascii="Arial" w:hAnsi="Arial" w:cs="Arial" w:eastAsia="Arial"/>
                        <w:color w:val="231F20"/>
                        <w:spacing w:val="-11"/>
                        <w:sz w:val="14"/>
                        <w:szCs w:val="14"/>
                      </w:rPr>
                      <w:t> </w:t>
                    </w:r>
                    <w:r>
                      <w:rPr>
                        <w:rFonts w:ascii="Arial" w:hAnsi="Arial" w:cs="Arial" w:eastAsia="Arial"/>
                        <w:color w:val="231F20"/>
                        <w:sz w:val="14"/>
                        <w:szCs w:val="14"/>
                      </w:rPr>
                      <w:t>are</w:t>
                    </w:r>
                    <w:r>
                      <w:rPr>
                        <w:rFonts w:ascii="Arial" w:hAnsi="Arial" w:cs="Arial" w:eastAsia="Arial"/>
                        <w:color w:val="231F20"/>
                        <w:spacing w:val="-12"/>
                        <w:sz w:val="14"/>
                        <w:szCs w:val="14"/>
                      </w:rPr>
                      <w:t> </w:t>
                    </w:r>
                    <w:r>
                      <w:rPr>
                        <w:rFonts w:ascii="Arial" w:hAnsi="Arial" w:cs="Arial" w:eastAsia="Arial"/>
                        <w:color w:val="231F20"/>
                        <w:sz w:val="14"/>
                        <w:szCs w:val="14"/>
                      </w:rPr>
                      <w:t>shown</w:t>
                    </w:r>
                    <w:r>
                      <w:rPr>
                        <w:rFonts w:ascii="Arial" w:hAnsi="Arial" w:cs="Arial" w:eastAsia="Arial"/>
                        <w:color w:val="231F20"/>
                        <w:spacing w:val="-11"/>
                        <w:sz w:val="14"/>
                        <w:szCs w:val="14"/>
                      </w:rPr>
                      <w:t> </w:t>
                    </w:r>
                    <w:r>
                      <w:rPr>
                        <w:rFonts w:ascii="Arial" w:hAnsi="Arial" w:cs="Arial" w:eastAsia="Arial"/>
                        <w:color w:val="231F20"/>
                        <w:sz w:val="14"/>
                        <w:szCs w:val="14"/>
                      </w:rPr>
                      <w:t>along</w:t>
                    </w:r>
                    <w:r>
                      <w:rPr>
                        <w:rFonts w:ascii="Arial" w:hAnsi="Arial" w:cs="Arial" w:eastAsia="Arial"/>
                        <w:color w:val="231F20"/>
                        <w:spacing w:val="-11"/>
                        <w:sz w:val="14"/>
                        <w:szCs w:val="14"/>
                      </w:rPr>
                      <w:t> </w:t>
                    </w:r>
                    <w:r>
                      <w:rPr>
                        <w:rFonts w:ascii="Arial" w:hAnsi="Arial" w:cs="Arial" w:eastAsia="Arial"/>
                        <w:color w:val="231F20"/>
                        <w:sz w:val="14"/>
                        <w:szCs w:val="14"/>
                      </w:rPr>
                      <w:t>the</w:t>
                    </w:r>
                    <w:r>
                      <w:rPr>
                        <w:rFonts w:ascii="Arial" w:hAnsi="Arial" w:cs="Arial" w:eastAsia="Arial"/>
                        <w:color w:val="231F20"/>
                        <w:spacing w:val="-11"/>
                        <w:sz w:val="14"/>
                        <w:szCs w:val="14"/>
                      </w:rPr>
                      <w:t> </w:t>
                    </w:r>
                    <w:r>
                      <w:rPr>
                        <w:rFonts w:ascii="Arial" w:hAnsi="Arial" w:cs="Arial" w:eastAsia="Arial"/>
                        <w:color w:val="231F20"/>
                        <w:spacing w:val="-3"/>
                        <w:sz w:val="14"/>
                        <w:szCs w:val="14"/>
                      </w:rPr>
                      <w:t>axon’s</w:t>
                    </w:r>
                    <w:r>
                      <w:rPr>
                        <w:rFonts w:ascii="Arial" w:hAnsi="Arial" w:cs="Arial" w:eastAsia="Arial"/>
                        <w:color w:val="231F20"/>
                        <w:spacing w:val="-12"/>
                        <w:sz w:val="14"/>
                        <w:szCs w:val="14"/>
                      </w:rPr>
                      <w:t> </w:t>
                    </w:r>
                    <w:r>
                      <w:rPr>
                        <w:rFonts w:ascii="Arial" w:hAnsi="Arial" w:cs="Arial" w:eastAsia="Arial"/>
                        <w:color w:val="231F20"/>
                        <w:sz w:val="14"/>
                        <w:szCs w:val="14"/>
                      </w:rPr>
                      <w:t>coordinate</w:t>
                    </w:r>
                    <w:r>
                      <w:rPr>
                        <w:rFonts w:ascii="Arial" w:hAnsi="Arial" w:cs="Arial" w:eastAsia="Arial"/>
                        <w:color w:val="231F20"/>
                        <w:spacing w:val="-11"/>
                        <w:sz w:val="14"/>
                        <w:szCs w:val="14"/>
                      </w:rPr>
                      <w:t> </w:t>
                    </w:r>
                    <w:r>
                      <w:rPr>
                        <w:rFonts w:ascii="Arial" w:hAnsi="Arial" w:cs="Arial" w:eastAsia="Arial"/>
                        <w:i/>
                        <w:color w:val="231F20"/>
                        <w:sz w:val="14"/>
                        <w:szCs w:val="14"/>
                      </w:rPr>
                      <w:t>x</w:t>
                    </w:r>
                    <w:r>
                      <w:rPr>
                        <w:rFonts w:ascii="Arial" w:hAnsi="Arial" w:cs="Arial" w:eastAsia="Arial"/>
                        <w:color w:val="231F20"/>
                        <w:sz w:val="14"/>
                        <w:szCs w:val="14"/>
                      </w:rPr>
                      <w:t>,</w:t>
                    </w:r>
                    <w:r>
                      <w:rPr>
                        <w:rFonts w:ascii="Arial" w:hAnsi="Arial" w:cs="Arial" w:eastAsia="Arial"/>
                        <w:color w:val="231F20"/>
                        <w:spacing w:val="-11"/>
                        <w:sz w:val="14"/>
                        <w:szCs w:val="14"/>
                      </w:rPr>
                      <w:t> </w:t>
                    </w:r>
                    <w:r>
                      <w:rPr>
                        <w:rFonts w:ascii="Arial" w:hAnsi="Arial" w:cs="Arial" w:eastAsia="Arial"/>
                        <w:color w:val="231F20"/>
                        <w:sz w:val="14"/>
                        <w:szCs w:val="14"/>
                      </w:rPr>
                      <w:t>showing</w:t>
                    </w:r>
                    <w:r>
                      <w:rPr>
                        <w:rFonts w:ascii="Arial" w:hAnsi="Arial" w:cs="Arial" w:eastAsia="Arial"/>
                        <w:color w:val="231F20"/>
                        <w:spacing w:val="-11"/>
                        <w:sz w:val="14"/>
                        <w:szCs w:val="14"/>
                      </w:rPr>
                      <w:t> </w:t>
                    </w:r>
                    <w:r>
                      <w:rPr>
                        <w:rFonts w:ascii="Arial" w:hAnsi="Arial" w:cs="Arial" w:eastAsia="Arial"/>
                        <w:color w:val="231F20"/>
                        <w:sz w:val="14"/>
                        <w:szCs w:val="14"/>
                      </w:rPr>
                      <w:t>the</w:t>
                    </w:r>
                    <w:r>
                      <w:rPr>
                        <w:rFonts w:ascii="Arial" w:hAnsi="Arial" w:cs="Arial" w:eastAsia="Arial"/>
                        <w:color w:val="231F20"/>
                        <w:spacing w:val="-12"/>
                        <w:sz w:val="14"/>
                        <w:szCs w:val="14"/>
                      </w:rPr>
                      <w:t> </w:t>
                    </w:r>
                    <w:r>
                      <w:rPr>
                        <w:rFonts w:ascii="Arial" w:hAnsi="Arial" w:cs="Arial" w:eastAsia="Arial"/>
                        <w:color w:val="231F20"/>
                        <w:sz w:val="14"/>
                        <w:szCs w:val="14"/>
                      </w:rPr>
                      <w:t>influence</w:t>
                    </w:r>
                    <w:r>
                      <w:rPr>
                        <w:rFonts w:ascii="Arial" w:hAnsi="Arial" w:cs="Arial" w:eastAsia="Arial"/>
                        <w:color w:val="231F20"/>
                        <w:spacing w:val="-11"/>
                        <w:sz w:val="14"/>
                        <w:szCs w:val="14"/>
                      </w:rPr>
                      <w:t> </w:t>
                    </w:r>
                    <w:r>
                      <w:rPr>
                        <w:rFonts w:ascii="Arial" w:hAnsi="Arial" w:cs="Arial" w:eastAsia="Arial"/>
                        <w:color w:val="231F20"/>
                        <w:sz w:val="14"/>
                        <w:szCs w:val="14"/>
                      </w:rPr>
                      <w:t>of</w:t>
                    </w:r>
                    <w:r>
                      <w:rPr>
                        <w:rFonts w:ascii="Arial" w:hAnsi="Arial" w:cs="Arial" w:eastAsia="Arial"/>
                        <w:color w:val="231F20"/>
                        <w:spacing w:val="-11"/>
                        <w:sz w:val="14"/>
                        <w:szCs w:val="14"/>
                      </w:rPr>
                      <w:t> </w:t>
                    </w:r>
                    <w:r>
                      <w:rPr>
                        <w:rFonts w:ascii="Arial" w:hAnsi="Arial" w:cs="Arial" w:eastAsia="Arial"/>
                        <w:color w:val="231F20"/>
                        <w:sz w:val="14"/>
                        <w:szCs w:val="14"/>
                      </w:rPr>
                      <w:t>the</w:t>
                    </w:r>
                    <w:r>
                      <w:rPr>
                        <w:rFonts w:ascii="Arial" w:hAnsi="Arial" w:cs="Arial" w:eastAsia="Arial"/>
                        <w:color w:val="231F20"/>
                        <w:spacing w:val="-11"/>
                        <w:sz w:val="14"/>
                        <w:szCs w:val="14"/>
                      </w:rPr>
                      <w:t> </w:t>
                    </w:r>
                    <w:r>
                      <w:rPr>
                        <w:rFonts w:ascii="Arial" w:hAnsi="Arial" w:cs="Arial" w:eastAsia="Arial"/>
                        <w:color w:val="231F20"/>
                        <w:sz w:val="14"/>
                        <w:szCs w:val="14"/>
                      </w:rPr>
                      <w:t>electrode</w:t>
                    </w:r>
                    <w:r>
                      <w:rPr>
                        <w:rFonts w:ascii="Arial" w:hAnsi="Arial" w:cs="Arial" w:eastAsia="Arial"/>
                        <w:color w:val="231F20"/>
                        <w:spacing w:val="-11"/>
                        <w:sz w:val="14"/>
                        <w:szCs w:val="14"/>
                      </w:rPr>
                      <w:t> </w:t>
                    </w:r>
                    <w:r>
                      <w:rPr>
                        <w:rFonts w:ascii="Arial" w:hAnsi="Arial" w:cs="Arial" w:eastAsia="Arial"/>
                        <w:color w:val="231F20"/>
                        <w:sz w:val="14"/>
                        <w:szCs w:val="14"/>
                      </w:rPr>
                      <w:t>separation</w:t>
                    </w:r>
                    <w:r>
                      <w:rPr>
                        <w:rFonts w:ascii="Arial" w:hAnsi="Arial" w:cs="Arial" w:eastAsia="Arial"/>
                        <w:color w:val="231F20"/>
                        <w:spacing w:val="-12"/>
                        <w:sz w:val="14"/>
                        <w:szCs w:val="14"/>
                      </w:rPr>
                      <w:t> </w:t>
                    </w:r>
                    <w:r>
                      <w:rPr>
                        <w:rFonts w:ascii="Arial" w:hAnsi="Arial" w:cs="Arial" w:eastAsia="Arial"/>
                        <w:i/>
                        <w:color w:val="231F20"/>
                        <w:sz w:val="14"/>
                        <w:szCs w:val="14"/>
                      </w:rPr>
                      <w:t>d</w:t>
                    </w:r>
                    <w:r>
                      <w:rPr>
                        <w:rFonts w:ascii="Arial" w:hAnsi="Arial" w:cs="Arial" w:eastAsia="Arial"/>
                        <w:color w:val="231F20"/>
                        <w:sz w:val="14"/>
                        <w:szCs w:val="14"/>
                      </w:rPr>
                      <w:t>.</w:t>
                    </w:r>
                    <w:r>
                      <w:rPr>
                        <w:rFonts w:ascii="Arial" w:hAnsi="Arial" w:cs="Arial" w:eastAsia="Arial"/>
                        <w:color w:val="231F20"/>
                        <w:spacing w:val="-11"/>
                        <w:sz w:val="14"/>
                        <w:szCs w:val="14"/>
                      </w:rPr>
                      <w:t> </w:t>
                    </w:r>
                    <w:r>
                      <w:rPr>
                        <w:rFonts w:ascii="Arial" w:hAnsi="Arial" w:cs="Arial" w:eastAsia="Arial"/>
                        <w:color w:val="231F20"/>
                        <w:sz w:val="14"/>
                        <w:szCs w:val="14"/>
                      </w:rPr>
                      <w:t>With</w:t>
                    </w:r>
                    <w:r>
                      <w:rPr>
                        <w:rFonts w:ascii="Arial" w:hAnsi="Arial" w:cs="Arial" w:eastAsia="Arial"/>
                        <w:color w:val="231F20"/>
                        <w:spacing w:val="-11"/>
                        <w:sz w:val="14"/>
                        <w:szCs w:val="14"/>
                      </w:rPr>
                      <w:t> </w:t>
                    </w:r>
                    <w:r>
                      <w:rPr>
                        <w:rFonts w:ascii="Arial" w:hAnsi="Arial" w:cs="Arial" w:eastAsia="Arial"/>
                        <w:color w:val="231F20"/>
                        <w:sz w:val="14"/>
                        <w:szCs w:val="14"/>
                      </w:rPr>
                      <w:t>decreasing</w:t>
                    </w:r>
                    <w:r>
                      <w:rPr>
                        <w:rFonts w:ascii="Arial" w:hAnsi="Arial" w:cs="Arial" w:eastAsia="Arial"/>
                        <w:color w:val="231F20"/>
                        <w:spacing w:val="-11"/>
                        <w:sz w:val="14"/>
                        <w:szCs w:val="14"/>
                      </w:rPr>
                      <w:t> </w:t>
                    </w:r>
                    <w:r>
                      <w:rPr>
                        <w:rFonts w:ascii="Arial" w:hAnsi="Arial" w:cs="Arial" w:eastAsia="Arial"/>
                        <w:i/>
                        <w:color w:val="231F20"/>
                        <w:sz w:val="14"/>
                        <w:szCs w:val="14"/>
                      </w:rPr>
                      <w:t>d</w:t>
                    </w:r>
                    <w:r>
                      <w:rPr>
                        <w:rFonts w:ascii="Arial" w:hAnsi="Arial" w:cs="Arial" w:eastAsia="Arial"/>
                        <w:color w:val="231F20"/>
                        <w:sz w:val="14"/>
                        <w:szCs w:val="14"/>
                      </w:rPr>
                      <w:t>,</w:t>
                    </w:r>
                    <w:r>
                      <w:rPr>
                        <w:rFonts w:ascii="Arial" w:hAnsi="Arial" w:cs="Arial" w:eastAsia="Arial"/>
                        <w:color w:val="231F20"/>
                        <w:spacing w:val="-12"/>
                        <w:sz w:val="14"/>
                        <w:szCs w:val="14"/>
                      </w:rPr>
                      <w:t> </w:t>
                    </w:r>
                    <w:r>
                      <w:rPr>
                        <w:rFonts w:ascii="Arial" w:hAnsi="Arial" w:cs="Arial" w:eastAsia="Arial"/>
                        <w:color w:val="231F20"/>
                        <w:sz w:val="14"/>
                        <w:szCs w:val="14"/>
                      </w:rPr>
                      <w:t>the</w:t>
                    </w:r>
                    <w:r>
                      <w:rPr>
                        <w:rFonts w:ascii="Arial" w:hAnsi="Arial" w:cs="Arial" w:eastAsia="Arial"/>
                        <w:color w:val="231F20"/>
                        <w:spacing w:val="-11"/>
                        <w:sz w:val="14"/>
                        <w:szCs w:val="14"/>
                      </w:rPr>
                      <w:t> </w:t>
                    </w:r>
                    <w:r>
                      <w:rPr>
                        <w:rFonts w:ascii="Arial" w:hAnsi="Arial" w:cs="Arial" w:eastAsia="Arial"/>
                        <w:color w:val="231F20"/>
                        <w:sz w:val="14"/>
                        <w:szCs w:val="14"/>
                      </w:rPr>
                      <w:t>depolarized</w:t>
                    </w:r>
                    <w:r>
                      <w:rPr>
                        <w:rFonts w:ascii="Arial" w:hAnsi="Arial" w:cs="Arial" w:eastAsia="Arial"/>
                        <w:color w:val="231F20"/>
                        <w:spacing w:val="-11"/>
                        <w:sz w:val="14"/>
                        <w:szCs w:val="14"/>
                      </w:rPr>
                      <w:t> </w:t>
                    </w:r>
                    <w:r>
                      <w:rPr>
                        <w:rFonts w:ascii="Arial" w:hAnsi="Arial" w:cs="Arial" w:eastAsia="Arial"/>
                        <w:color w:val="231F20"/>
                        <w:sz w:val="14"/>
                        <w:szCs w:val="14"/>
                      </w:rPr>
                      <w:t>segment</w:t>
                    </w:r>
                    <w:r>
                      <w:rPr>
                        <w:rFonts w:ascii="Arial" w:hAnsi="Arial" w:cs="Arial" w:eastAsia="Arial"/>
                        <w:color w:val="231F20"/>
                        <w:spacing w:val="-11"/>
                        <w:sz w:val="14"/>
                        <w:szCs w:val="14"/>
                      </w:rPr>
                      <w:t> </w:t>
                    </w:r>
                    <w:r>
                      <w:rPr>
                        <w:rFonts w:ascii="Arial" w:hAnsi="Arial" w:cs="Arial" w:eastAsia="Arial"/>
                        <w:color w:val="231F20"/>
                        <w:sz w:val="14"/>
                        <w:szCs w:val="14"/>
                      </w:rPr>
                      <w:t>of</w:t>
                    </w:r>
                    <w:r>
                      <w:rPr>
                        <w:rFonts w:ascii="Arial" w:hAnsi="Arial" w:cs="Arial" w:eastAsia="Arial"/>
                        <w:color w:val="231F20"/>
                        <w:spacing w:val="-12"/>
                        <w:sz w:val="14"/>
                        <w:szCs w:val="14"/>
                      </w:rPr>
                      <w:t> </w:t>
                    </w:r>
                    <w:r>
                      <w:rPr>
                        <w:rFonts w:ascii="Arial" w:hAnsi="Arial" w:cs="Arial" w:eastAsia="Arial"/>
                        <w:color w:val="231F20"/>
                        <w:sz w:val="14"/>
                        <w:szCs w:val="14"/>
                      </w:rPr>
                      <w:t>the</w:t>
                    </w:r>
                    <w:r>
                      <w:rPr>
                        <w:rFonts w:ascii="Arial" w:hAnsi="Arial" w:cs="Arial" w:eastAsia="Arial"/>
                        <w:color w:val="231F20"/>
                        <w:spacing w:val="-11"/>
                        <w:sz w:val="14"/>
                        <w:szCs w:val="14"/>
                      </w:rPr>
                      <w:t> </w:t>
                    </w:r>
                    <w:r>
                      <w:rPr>
                        <w:rFonts w:ascii="Arial" w:hAnsi="Arial" w:cs="Arial" w:eastAsia="Arial"/>
                        <w:color w:val="231F20"/>
                        <w:sz w:val="14"/>
                        <w:szCs w:val="14"/>
                      </w:rPr>
                      <w:t>axon narrows [i.e., </w:t>
                    </w:r>
                    <w:r>
                      <w:rPr>
                        <w:rFonts w:ascii="Verdana Pro Light" w:hAnsi="Verdana Pro Light" w:cs="Verdana Pro Light" w:eastAsia="Verdana Pro Light"/>
                        <w:b w:val="0"/>
                        <w:bCs w:val="0"/>
                        <w:i/>
                        <w:color w:val="231F20"/>
                        <w:sz w:val="14"/>
                        <w:szCs w:val="14"/>
                      </w:rPr>
                      <w:t>�</w:t>
                    </w:r>
                    <w:r>
                      <w:rPr>
                        <w:rFonts w:ascii="Arial" w:hAnsi="Arial" w:cs="Arial" w:eastAsia="Arial"/>
                        <w:color w:val="231F20"/>
                        <w:sz w:val="14"/>
                        <w:szCs w:val="14"/>
                      </w:rPr>
                      <w:t>x decreases for </w:t>
                    </w:r>
                    <w:r>
                      <w:rPr>
                        <w:rFonts w:ascii="Arial" w:hAnsi="Arial" w:cs="Arial" w:eastAsia="Arial"/>
                        <w:i/>
                        <w:color w:val="231F20"/>
                        <w:sz w:val="14"/>
                        <w:szCs w:val="14"/>
                      </w:rPr>
                      <w:t>f </w:t>
                    </w:r>
                    <w:r>
                      <w:rPr>
                        <w:rFonts w:ascii="Arial" w:hAnsi="Arial" w:cs="Arial" w:eastAsia="Arial"/>
                        <w:color w:val="231F20"/>
                        <w:sz w:val="14"/>
                        <w:szCs w:val="14"/>
                      </w:rPr>
                      <w:t>(</w:t>
                    </w:r>
                    <w:r>
                      <w:rPr>
                        <w:rFonts w:ascii="Arial" w:hAnsi="Arial" w:cs="Arial" w:eastAsia="Arial"/>
                        <w:i/>
                        <w:color w:val="231F20"/>
                        <w:sz w:val="14"/>
                        <w:szCs w:val="14"/>
                      </w:rPr>
                      <w:t>x</w:t>
                    </w:r>
                    <w:r>
                      <w:rPr>
                        <w:rFonts w:ascii="Arial" w:hAnsi="Arial" w:cs="Arial" w:eastAsia="Arial"/>
                        <w:color w:val="231F20"/>
                        <w:sz w:val="14"/>
                        <w:szCs w:val="14"/>
                      </w:rPr>
                      <w:t>) </w:t>
                    </w:r>
                    <w:r>
                      <w:rPr>
                        <w:rFonts w:ascii="Verdana Pro Light" w:hAnsi="Verdana Pro Light" w:cs="Verdana Pro Light" w:eastAsia="Verdana Pro Light"/>
                        <w:b w:val="0"/>
                        <w:bCs w:val="0"/>
                        <w:i/>
                        <w:color w:val="231F20"/>
                        <w:sz w:val="14"/>
                        <w:szCs w:val="14"/>
                      </w:rPr>
                      <w:t>&gt; </w:t>
                    </w:r>
                    <w:r>
                      <w:rPr>
                        <w:rFonts w:ascii="Arial" w:hAnsi="Arial" w:cs="Arial" w:eastAsia="Arial"/>
                        <w:color w:val="231F20"/>
                        <w:sz w:val="14"/>
                        <w:szCs w:val="14"/>
                      </w:rPr>
                      <w:t>0] while the local depolarization strength decreases [i.e., </w:t>
                    </w:r>
                    <w:r>
                      <w:rPr>
                        <w:rFonts w:ascii="Arial" w:hAnsi="Arial" w:cs="Arial" w:eastAsia="Arial"/>
                        <w:i/>
                        <w:color w:val="231F20"/>
                        <w:sz w:val="14"/>
                        <w:szCs w:val="14"/>
                      </w:rPr>
                      <w:t>f </w:t>
                    </w:r>
                    <w:r>
                      <w:rPr>
                        <w:rFonts w:ascii="Arial" w:hAnsi="Arial" w:cs="Arial" w:eastAsia="Arial"/>
                        <w:color w:val="231F20"/>
                        <w:sz w:val="14"/>
                        <w:szCs w:val="14"/>
                      </w:rPr>
                      <w:t>(</w:t>
                    </w:r>
                    <w:r>
                      <w:rPr>
                        <w:rFonts w:ascii="Arial" w:hAnsi="Arial" w:cs="Arial" w:eastAsia="Arial"/>
                        <w:i/>
                        <w:color w:val="231F20"/>
                        <w:sz w:val="14"/>
                        <w:szCs w:val="14"/>
                      </w:rPr>
                      <w:t>x</w:t>
                    </w:r>
                    <w:r>
                      <w:rPr>
                        <w:rFonts w:ascii="Arial" w:hAnsi="Arial" w:cs="Arial" w:eastAsia="Arial"/>
                        <w:color w:val="231F20"/>
                        <w:sz w:val="14"/>
                        <w:szCs w:val="14"/>
                      </w:rPr>
                      <w:t>) decreases for </w:t>
                    </w:r>
                    <w:r>
                      <w:rPr>
                        <w:rFonts w:ascii="Arial" w:hAnsi="Arial" w:cs="Arial" w:eastAsia="Arial"/>
                        <w:i/>
                        <w:color w:val="231F20"/>
                        <w:sz w:val="14"/>
                        <w:szCs w:val="14"/>
                      </w:rPr>
                      <w:t>f </w:t>
                    </w:r>
                    <w:r>
                      <w:rPr>
                        <w:rFonts w:ascii="Arial" w:hAnsi="Arial" w:cs="Arial" w:eastAsia="Arial"/>
                        <w:color w:val="231F20"/>
                        <w:sz w:val="14"/>
                        <w:szCs w:val="14"/>
                      </w:rPr>
                      <w:t>(</w:t>
                    </w:r>
                    <w:r>
                      <w:rPr>
                        <w:rFonts w:ascii="Arial" w:hAnsi="Arial" w:cs="Arial" w:eastAsia="Arial"/>
                        <w:i/>
                        <w:color w:val="231F20"/>
                        <w:sz w:val="14"/>
                        <w:szCs w:val="14"/>
                      </w:rPr>
                      <w:t>x</w:t>
                    </w:r>
                    <w:r>
                      <w:rPr>
                        <w:rFonts w:ascii="Arial" w:hAnsi="Arial" w:cs="Arial" w:eastAsia="Arial"/>
                        <w:color w:val="231F20"/>
                        <w:sz w:val="14"/>
                        <w:szCs w:val="14"/>
                      </w:rPr>
                      <w:t>) </w:t>
                    </w:r>
                    <w:r>
                      <w:rPr>
                        <w:rFonts w:ascii="Verdana Pro Light" w:hAnsi="Verdana Pro Light" w:cs="Verdana Pro Light" w:eastAsia="Verdana Pro Light"/>
                        <w:b w:val="0"/>
                        <w:bCs w:val="0"/>
                        <w:i/>
                        <w:color w:val="231F20"/>
                        <w:sz w:val="14"/>
                        <w:szCs w:val="14"/>
                      </w:rPr>
                      <w:t>&gt; </w:t>
                    </w:r>
                    <w:r>
                      <w:rPr>
                        <w:rFonts w:ascii="Arial" w:hAnsi="Arial" w:cs="Arial" w:eastAsia="Arial"/>
                        <w:color w:val="231F20"/>
                        <w:sz w:val="14"/>
                        <w:szCs w:val="14"/>
                      </w:rPr>
                      <w:t>0]. (B) Advanced model of the tripolar stimulation</w:t>
                    </w:r>
                    <w:r>
                      <w:rPr>
                        <w:rFonts w:ascii="Arial" w:hAnsi="Arial" w:cs="Arial" w:eastAsia="Arial"/>
                        <w:color w:val="231F20"/>
                        <w:spacing w:val="-12"/>
                        <w:sz w:val="14"/>
                        <w:szCs w:val="14"/>
                      </w:rPr>
                      <w:t> </w:t>
                    </w:r>
                    <w:r>
                      <w:rPr>
                        <w:rFonts w:ascii="Arial" w:hAnsi="Arial" w:cs="Arial" w:eastAsia="Arial"/>
                        <w:color w:val="231F20"/>
                        <w:sz w:val="14"/>
                        <w:szCs w:val="14"/>
                      </w:rPr>
                      <w:t>with</w:t>
                    </w:r>
                    <w:r>
                      <w:rPr>
                        <w:rFonts w:ascii="Arial" w:hAnsi="Arial" w:cs="Arial" w:eastAsia="Arial"/>
                        <w:color w:val="231F20"/>
                        <w:spacing w:val="-11"/>
                        <w:sz w:val="14"/>
                        <w:szCs w:val="14"/>
                      </w:rPr>
                      <w:t> </w:t>
                    </w:r>
                    <w:r>
                      <w:rPr>
                        <w:rFonts w:ascii="Arial" w:hAnsi="Arial" w:cs="Arial" w:eastAsia="Arial"/>
                        <w:color w:val="231F20"/>
                        <w:sz w:val="14"/>
                        <w:szCs w:val="14"/>
                      </w:rPr>
                      <w:t>needle</w:t>
                    </w:r>
                    <w:r>
                      <w:rPr>
                        <w:rFonts w:ascii="Arial" w:hAnsi="Arial" w:cs="Arial" w:eastAsia="Arial"/>
                        <w:color w:val="231F20"/>
                        <w:spacing w:val="-11"/>
                        <w:sz w:val="14"/>
                        <w:szCs w:val="14"/>
                      </w:rPr>
                      <w:t> </w:t>
                    </w:r>
                    <w:r>
                      <w:rPr>
                        <w:rFonts w:ascii="Arial" w:hAnsi="Arial" w:cs="Arial" w:eastAsia="Arial"/>
                        <w:color w:val="231F20"/>
                        <w:sz w:val="14"/>
                        <w:szCs w:val="14"/>
                      </w:rPr>
                      <w:t>voltage</w:t>
                    </w:r>
                    <w:r>
                      <w:rPr>
                        <w:rFonts w:ascii="Arial" w:hAnsi="Arial" w:cs="Arial" w:eastAsia="Arial"/>
                        <w:color w:val="231F20"/>
                        <w:spacing w:val="-12"/>
                        <w:sz w:val="14"/>
                        <w:szCs w:val="14"/>
                      </w:rPr>
                      <w:t> </w:t>
                    </w:r>
                    <w:r>
                      <w:rPr>
                        <w:rFonts w:ascii="Arial" w:hAnsi="Arial" w:cs="Arial" w:eastAsia="Arial"/>
                        <w:color w:val="231F20"/>
                        <w:sz w:val="14"/>
                        <w:szCs w:val="14"/>
                      </w:rPr>
                      <w:t>electrodes.</w:t>
                    </w:r>
                    <w:r>
                      <w:rPr>
                        <w:rFonts w:ascii="Arial" w:hAnsi="Arial" w:cs="Arial" w:eastAsia="Arial"/>
                        <w:color w:val="231F20"/>
                        <w:spacing w:val="-11"/>
                        <w:sz w:val="14"/>
                        <w:szCs w:val="14"/>
                      </w:rPr>
                      <w:t> </w:t>
                    </w:r>
                    <w:r>
                      <w:rPr>
                        <w:rFonts w:ascii="Arial" w:hAnsi="Arial" w:cs="Arial" w:eastAsia="Arial"/>
                        <w:color w:val="231F20"/>
                        <w:sz w:val="14"/>
                        <w:szCs w:val="14"/>
                      </w:rPr>
                      <w:t>The</w:t>
                    </w:r>
                    <w:r>
                      <w:rPr>
                        <w:rFonts w:ascii="Arial" w:hAnsi="Arial" w:cs="Arial" w:eastAsia="Arial"/>
                        <w:color w:val="231F20"/>
                        <w:spacing w:val="-11"/>
                        <w:sz w:val="14"/>
                        <w:szCs w:val="14"/>
                      </w:rPr>
                      <w:t> </w:t>
                    </w:r>
                    <w:r>
                      <w:rPr>
                        <w:rFonts w:ascii="Arial" w:hAnsi="Arial" w:cs="Arial" w:eastAsia="Arial"/>
                        <w:color w:val="231F20"/>
                        <w:sz w:val="14"/>
                        <w:szCs w:val="14"/>
                      </w:rPr>
                      <w:t>spatial</w:t>
                    </w:r>
                    <w:r>
                      <w:rPr>
                        <w:rFonts w:ascii="Arial" w:hAnsi="Arial" w:cs="Arial" w:eastAsia="Arial"/>
                        <w:color w:val="231F20"/>
                        <w:spacing w:val="-11"/>
                        <w:sz w:val="14"/>
                        <w:szCs w:val="14"/>
                      </w:rPr>
                      <w:t> </w:t>
                    </w:r>
                    <w:r>
                      <w:rPr>
                        <w:rFonts w:ascii="Arial" w:hAnsi="Arial" w:cs="Arial" w:eastAsia="Arial"/>
                        <w:color w:val="231F20"/>
                        <w:sz w:val="14"/>
                        <w:szCs w:val="14"/>
                      </w:rPr>
                      <w:t>distribution</w:t>
                    </w:r>
                    <w:r>
                      <w:rPr>
                        <w:rFonts w:ascii="Arial" w:hAnsi="Arial" w:cs="Arial" w:eastAsia="Arial"/>
                        <w:color w:val="231F20"/>
                        <w:spacing w:val="-12"/>
                        <w:sz w:val="14"/>
                        <w:szCs w:val="14"/>
                      </w:rPr>
                      <w:t> </w:t>
                    </w:r>
                    <w:r>
                      <w:rPr>
                        <w:rFonts w:ascii="Arial" w:hAnsi="Arial" w:cs="Arial" w:eastAsia="Arial"/>
                        <w:color w:val="231F20"/>
                        <w:sz w:val="14"/>
                        <w:szCs w:val="14"/>
                      </w:rPr>
                      <w:t>of</w:t>
                    </w:r>
                    <w:r>
                      <w:rPr>
                        <w:rFonts w:ascii="Arial" w:hAnsi="Arial" w:cs="Arial" w:eastAsia="Arial"/>
                        <w:color w:val="231F20"/>
                        <w:spacing w:val="-11"/>
                        <w:sz w:val="14"/>
                        <w:szCs w:val="14"/>
                      </w:rPr>
                      <w:t> </w:t>
                    </w:r>
                    <w:r>
                      <w:rPr>
                        <w:rFonts w:ascii="Arial" w:hAnsi="Arial" w:cs="Arial" w:eastAsia="Arial"/>
                        <w:color w:val="231F20"/>
                        <w:sz w:val="14"/>
                        <w:szCs w:val="14"/>
                      </w:rPr>
                      <w:t>the</w:t>
                    </w:r>
                    <w:r>
                      <w:rPr>
                        <w:rFonts w:ascii="Arial" w:hAnsi="Arial" w:cs="Arial" w:eastAsia="Arial"/>
                        <w:color w:val="231F20"/>
                        <w:spacing w:val="-11"/>
                        <w:sz w:val="14"/>
                        <w:szCs w:val="14"/>
                      </w:rPr>
                      <w:t> </w:t>
                    </w:r>
                    <w:r>
                      <w:rPr>
                        <w:rFonts w:ascii="Arial" w:hAnsi="Arial" w:cs="Arial" w:eastAsia="Arial"/>
                        <w:color w:val="231F20"/>
                        <w:sz w:val="14"/>
                        <w:szCs w:val="14"/>
                      </w:rPr>
                      <w:t>local</w:t>
                    </w:r>
                    <w:r>
                      <w:rPr>
                        <w:rFonts w:ascii="Arial" w:hAnsi="Arial" w:cs="Arial" w:eastAsia="Arial"/>
                        <w:color w:val="231F20"/>
                        <w:spacing w:val="-12"/>
                        <w:sz w:val="14"/>
                        <w:szCs w:val="14"/>
                      </w:rPr>
                      <w:t> </w:t>
                    </w:r>
                    <w:r>
                      <w:rPr>
                        <w:rFonts w:ascii="Arial" w:hAnsi="Arial" w:cs="Arial" w:eastAsia="Arial"/>
                        <w:color w:val="231F20"/>
                        <w:sz w:val="14"/>
                        <w:szCs w:val="14"/>
                      </w:rPr>
                      <w:t>electric</w:t>
                    </w:r>
                    <w:r>
                      <w:rPr>
                        <w:rFonts w:ascii="Arial" w:hAnsi="Arial" w:cs="Arial" w:eastAsia="Arial"/>
                        <w:color w:val="231F20"/>
                        <w:spacing w:val="-11"/>
                        <w:sz w:val="14"/>
                        <w:szCs w:val="14"/>
                      </w:rPr>
                      <w:t> </w:t>
                    </w:r>
                    <w:r>
                      <w:rPr>
                        <w:rFonts w:ascii="Arial" w:hAnsi="Arial" w:cs="Arial" w:eastAsia="Arial"/>
                        <w:color w:val="231F20"/>
                        <w:sz w:val="14"/>
                        <w:szCs w:val="14"/>
                      </w:rPr>
                      <w:t>field</w:t>
                    </w:r>
                    <w:r>
                      <w:rPr>
                        <w:rFonts w:ascii="Arial" w:hAnsi="Arial" w:cs="Arial" w:eastAsia="Arial"/>
                        <w:color w:val="231F20"/>
                        <w:spacing w:val="-11"/>
                        <w:sz w:val="14"/>
                        <w:szCs w:val="14"/>
                      </w:rPr>
                      <w:t> </w:t>
                    </w:r>
                    <w:r>
                      <w:rPr>
                        <w:rFonts w:ascii="Arial" w:hAnsi="Arial" w:cs="Arial" w:eastAsia="Arial"/>
                        <w:i/>
                        <w:color w:val="231F20"/>
                        <w:sz w:val="14"/>
                        <w:szCs w:val="14"/>
                      </w:rPr>
                      <w:t>E</w:t>
                    </w:r>
                    <w:r>
                      <w:rPr>
                        <w:rFonts w:ascii="Arial" w:hAnsi="Arial" w:cs="Arial" w:eastAsia="Arial"/>
                        <w:i/>
                        <w:color w:val="231F20"/>
                        <w:spacing w:val="-6"/>
                        <w:sz w:val="14"/>
                        <w:szCs w:val="14"/>
                      </w:rPr>
                      <w:t> </w:t>
                    </w:r>
                    <w:r>
                      <w:rPr>
                        <w:rFonts w:ascii="Arial" w:hAnsi="Arial" w:cs="Arial" w:eastAsia="Arial"/>
                        <w:color w:val="231F20"/>
                        <w:sz w:val="14"/>
                        <w:szCs w:val="14"/>
                      </w:rPr>
                      <w:t>(in</w:t>
                    </w:r>
                    <w:r>
                      <w:rPr>
                        <w:rFonts w:ascii="Arial" w:hAnsi="Arial" w:cs="Arial" w:eastAsia="Arial"/>
                        <w:color w:val="231F20"/>
                        <w:spacing w:val="-11"/>
                        <w:sz w:val="14"/>
                        <w:szCs w:val="14"/>
                      </w:rPr>
                      <w:t> </w:t>
                    </w:r>
                    <w:r>
                      <w:rPr>
                        <w:rFonts w:ascii="Arial" w:hAnsi="Arial" w:cs="Arial" w:eastAsia="Arial"/>
                        <w:color w:val="231F20"/>
                        <w:sz w:val="14"/>
                        <w:szCs w:val="14"/>
                      </w:rPr>
                      <w:t>dB</w:t>
                    </w:r>
                    <w:r>
                      <w:rPr>
                        <w:rFonts w:ascii="Arial" w:hAnsi="Arial" w:cs="Arial" w:eastAsia="Arial"/>
                        <w:color w:val="231F20"/>
                        <w:spacing w:val="-11"/>
                        <w:sz w:val="14"/>
                        <w:szCs w:val="14"/>
                      </w:rPr>
                      <w:t> </w:t>
                    </w:r>
                    <w:r>
                      <w:rPr>
                        <w:rFonts w:ascii="Arial" w:hAnsi="Arial" w:cs="Arial" w:eastAsia="Arial"/>
                        <w:color w:val="231F20"/>
                        <w:sz w:val="14"/>
                        <w:szCs w:val="14"/>
                      </w:rPr>
                      <w:t>related</w:t>
                    </w:r>
                    <w:r>
                      <w:rPr>
                        <w:rFonts w:ascii="Arial" w:hAnsi="Arial" w:cs="Arial" w:eastAsia="Arial"/>
                        <w:color w:val="231F20"/>
                        <w:spacing w:val="-11"/>
                        <w:sz w:val="14"/>
                        <w:szCs w:val="14"/>
                      </w:rPr>
                      <w:t> </w:t>
                    </w:r>
                    <w:r>
                      <w:rPr>
                        <w:rFonts w:ascii="Arial" w:hAnsi="Arial" w:cs="Arial" w:eastAsia="Arial"/>
                        <w:color w:val="231F20"/>
                        <w:sz w:val="14"/>
                        <w:szCs w:val="14"/>
                      </w:rPr>
                      <w:t>to</w:t>
                    </w:r>
                    <w:r>
                      <w:rPr>
                        <w:rFonts w:ascii="Arial" w:hAnsi="Arial" w:cs="Arial" w:eastAsia="Arial"/>
                        <w:color w:val="231F20"/>
                        <w:spacing w:val="-12"/>
                        <w:sz w:val="14"/>
                        <w:szCs w:val="14"/>
                      </w:rPr>
                      <w:t> </w:t>
                    </w:r>
                    <w:r>
                      <w:rPr>
                        <w:rFonts w:ascii="Arial" w:hAnsi="Arial" w:cs="Arial" w:eastAsia="Arial"/>
                        <w:color w:val="231F20"/>
                        <w:sz w:val="14"/>
                        <w:szCs w:val="14"/>
                      </w:rPr>
                      <w:t>150</w:t>
                    </w:r>
                    <w:r>
                      <w:rPr>
                        <w:rFonts w:ascii="Arial" w:hAnsi="Arial" w:cs="Arial" w:eastAsia="Arial"/>
                        <w:color w:val="231F20"/>
                        <w:spacing w:val="-11"/>
                        <w:sz w:val="14"/>
                        <w:szCs w:val="14"/>
                      </w:rPr>
                      <w:t> </w:t>
                    </w:r>
                    <w:r>
                      <w:rPr>
                        <w:rFonts w:ascii="Arial" w:hAnsi="Arial" w:cs="Arial" w:eastAsia="Arial"/>
                        <w:color w:val="231F20"/>
                        <w:sz w:val="14"/>
                        <w:szCs w:val="14"/>
                      </w:rPr>
                      <w:t>V/m)</w:t>
                    </w:r>
                    <w:r>
                      <w:rPr>
                        <w:rFonts w:ascii="Arial" w:hAnsi="Arial" w:cs="Arial" w:eastAsia="Arial"/>
                        <w:color w:val="231F20"/>
                        <w:spacing w:val="-11"/>
                        <w:sz w:val="14"/>
                        <w:szCs w:val="14"/>
                      </w:rPr>
                      <w:t> </w:t>
                    </w:r>
                    <w:r>
                      <w:rPr>
                        <w:rFonts w:ascii="Arial" w:hAnsi="Arial" w:cs="Arial" w:eastAsia="Arial"/>
                        <w:color w:val="231F20"/>
                        <w:sz w:val="14"/>
                        <w:szCs w:val="14"/>
                      </w:rPr>
                      <w:t>is</w:t>
                    </w:r>
                    <w:r>
                      <w:rPr>
                        <w:rFonts w:ascii="Arial" w:hAnsi="Arial" w:cs="Arial" w:eastAsia="Arial"/>
                        <w:color w:val="231F20"/>
                        <w:spacing w:val="-12"/>
                        <w:sz w:val="14"/>
                        <w:szCs w:val="14"/>
                      </w:rPr>
                      <w:t> </w:t>
                    </w:r>
                    <w:r>
                      <w:rPr>
                        <w:rFonts w:ascii="Arial" w:hAnsi="Arial" w:cs="Arial" w:eastAsia="Arial"/>
                        <w:color w:val="231F20"/>
                        <w:sz w:val="14"/>
                        <w:szCs w:val="14"/>
                      </w:rPr>
                      <w:t>shown</w:t>
                    </w:r>
                    <w:r>
                      <w:rPr>
                        <w:rFonts w:ascii="Arial" w:hAnsi="Arial" w:cs="Arial" w:eastAsia="Arial"/>
                        <w:color w:val="231F20"/>
                        <w:spacing w:val="-11"/>
                        <w:sz w:val="14"/>
                        <w:szCs w:val="14"/>
                      </w:rPr>
                      <w:t> </w:t>
                    </w:r>
                    <w:r>
                      <w:rPr>
                        <w:rFonts w:ascii="Arial" w:hAnsi="Arial" w:cs="Arial" w:eastAsia="Arial"/>
                        <w:color w:val="231F20"/>
                        <w:sz w:val="14"/>
                        <w:szCs w:val="14"/>
                      </w:rPr>
                      <w:t>within</w:t>
                    </w:r>
                    <w:r>
                      <w:rPr>
                        <w:rFonts w:ascii="Arial" w:hAnsi="Arial" w:cs="Arial" w:eastAsia="Arial"/>
                        <w:color w:val="231F20"/>
                        <w:spacing w:val="-11"/>
                        <w:sz w:val="14"/>
                        <w:szCs w:val="14"/>
                      </w:rPr>
                      <w:t> </w:t>
                    </w:r>
                    <w:r>
                      <w:rPr>
                        <w:rFonts w:ascii="Arial" w:hAnsi="Arial" w:cs="Arial" w:eastAsia="Arial"/>
                        <w:color w:val="231F20"/>
                        <w:sz w:val="14"/>
                        <w:szCs w:val="14"/>
                      </w:rPr>
                      <w:t>the</w:t>
                    </w:r>
                    <w:r>
                      <w:rPr>
                        <w:rFonts w:ascii="Arial" w:hAnsi="Arial" w:cs="Arial" w:eastAsia="Arial"/>
                        <w:color w:val="231F20"/>
                        <w:spacing w:val="-11"/>
                        <w:sz w:val="14"/>
                        <w:szCs w:val="14"/>
                      </w:rPr>
                      <w:t> </w:t>
                    </w:r>
                    <w:r>
                      <w:rPr>
                        <w:rFonts w:ascii="Arial" w:hAnsi="Arial" w:cs="Arial" w:eastAsia="Arial"/>
                        <w:color w:val="231F20"/>
                        <w:sz w:val="14"/>
                        <w:szCs w:val="14"/>
                      </w:rPr>
                      <w:t>outer</w:t>
                    </w:r>
                    <w:r>
                      <w:rPr>
                        <w:rFonts w:ascii="Arial" w:hAnsi="Arial" w:cs="Arial" w:eastAsia="Arial"/>
                        <w:color w:val="231F20"/>
                        <w:spacing w:val="-12"/>
                        <w:sz w:val="14"/>
                        <w:szCs w:val="14"/>
                      </w:rPr>
                      <w:t> </w:t>
                    </w:r>
                    <w:r>
                      <w:rPr>
                        <w:rFonts w:ascii="Arial" w:hAnsi="Arial" w:cs="Arial" w:eastAsia="Arial"/>
                        <w:color w:val="231F20"/>
                        <w:sz w:val="14"/>
                        <w:szCs w:val="14"/>
                      </w:rPr>
                      <w:t>ear</w:t>
                    </w:r>
                    <w:r>
                      <w:rPr>
                        <w:rFonts w:ascii="Arial" w:hAnsi="Arial" w:cs="Arial" w:eastAsia="Arial"/>
                        <w:color w:val="231F20"/>
                        <w:spacing w:val="-11"/>
                        <w:sz w:val="14"/>
                        <w:szCs w:val="14"/>
                      </w:rPr>
                      <w:t> </w:t>
                    </w:r>
                    <w:r>
                      <w:rPr>
                        <w:rFonts w:ascii="Arial" w:hAnsi="Arial" w:cs="Arial" w:eastAsia="Arial"/>
                        <w:color w:val="231F20"/>
                        <w:sz w:val="14"/>
                        <w:szCs w:val="14"/>
                      </w:rPr>
                      <w:t>with</w:t>
                    </w:r>
                    <w:r>
                      <w:rPr>
                        <w:rFonts w:ascii="Arial" w:hAnsi="Arial" w:cs="Arial" w:eastAsia="Arial"/>
                        <w:color w:val="231F20"/>
                        <w:spacing w:val="-11"/>
                        <w:sz w:val="14"/>
                        <w:szCs w:val="14"/>
                      </w:rPr>
                      <w:t> </w:t>
                    </w:r>
                    <w:r>
                      <w:rPr>
                        <w:rFonts w:ascii="Arial" w:hAnsi="Arial" w:cs="Arial" w:eastAsia="Arial"/>
                        <w:color w:val="231F20"/>
                        <w:sz w:val="14"/>
                        <w:szCs w:val="14"/>
                      </w:rPr>
                      <w:t>the</w:t>
                    </w:r>
                    <w:r>
                      <w:rPr>
                        <w:rFonts w:ascii="Arial" w:hAnsi="Arial" w:cs="Arial" w:eastAsia="Arial"/>
                        <w:color w:val="231F20"/>
                        <w:spacing w:val="-11"/>
                        <w:sz w:val="14"/>
                        <w:szCs w:val="14"/>
                      </w:rPr>
                      <w:t> </w:t>
                    </w:r>
                    <w:r>
                      <w:rPr>
                        <w:rFonts w:ascii="Arial" w:hAnsi="Arial" w:cs="Arial" w:eastAsia="Arial"/>
                        <w:color w:val="231F20"/>
                        <w:sz w:val="14"/>
                        <w:szCs w:val="14"/>
                      </w:rPr>
                      <w:t>electric potential 1 V for the red electrode, –1 V for the blue, and 0 V for the green. In fact, the gradient of the electric field [proportional to </w:t>
                    </w:r>
                    <w:r>
                      <w:rPr>
                        <w:rFonts w:ascii="Arial" w:hAnsi="Arial" w:cs="Arial" w:eastAsia="Arial"/>
                        <w:i/>
                        <w:color w:val="231F20"/>
                        <w:sz w:val="14"/>
                        <w:szCs w:val="14"/>
                      </w:rPr>
                      <w:t>f </w:t>
                    </w:r>
                    <w:r>
                      <w:rPr>
                        <w:rFonts w:ascii="Arial" w:hAnsi="Arial" w:cs="Arial" w:eastAsia="Arial"/>
                        <w:color w:val="231F20"/>
                        <w:sz w:val="14"/>
                        <w:szCs w:val="14"/>
                      </w:rPr>
                      <w:t>(</w:t>
                    </w:r>
                    <w:r>
                      <w:rPr>
                        <w:rFonts w:ascii="Arial" w:hAnsi="Arial" w:cs="Arial" w:eastAsia="Arial"/>
                        <w:i/>
                        <w:color w:val="231F20"/>
                        <w:sz w:val="14"/>
                        <w:szCs w:val="14"/>
                      </w:rPr>
                      <w:t>x</w:t>
                    </w:r>
                    <w:r>
                      <w:rPr>
                        <w:rFonts w:ascii="Arial" w:hAnsi="Arial" w:cs="Arial" w:eastAsia="Arial"/>
                        <w:color w:val="231F20"/>
                        <w:sz w:val="14"/>
                        <w:szCs w:val="14"/>
                      </w:rPr>
                      <w:t>)] determines the potential excitation of straight nerves along </w:t>
                    </w:r>
                    <w:r>
                      <w:rPr>
                        <w:rFonts w:ascii="Arial" w:hAnsi="Arial" w:cs="Arial" w:eastAsia="Arial"/>
                        <w:i/>
                        <w:color w:val="231F20"/>
                        <w:sz w:val="14"/>
                        <w:szCs w:val="14"/>
                      </w:rPr>
                      <w:t>x </w:t>
                    </w:r>
                    <w:r>
                      <w:rPr>
                        <w:rFonts w:ascii="Arial" w:hAnsi="Arial" w:cs="Arial" w:eastAsia="Arial"/>
                        <w:color w:val="231F20"/>
                        <w:sz w:val="14"/>
                        <w:szCs w:val="14"/>
                      </w:rPr>
                      <w:t>aligned typically along auricular vessels (</w:t>
                    </w:r>
                    <w:hyperlink w:history="true" w:anchor="_bookmark2">
                      <w:r>
                        <w:rPr>
                          <w:rFonts w:ascii="Arial" w:hAnsi="Arial" w:cs="Arial" w:eastAsia="Arial"/>
                          <w:color w:val="231F20"/>
                          <w:sz w:val="14"/>
                          <w:szCs w:val="14"/>
                        </w:rPr>
                        <w:t>Figure</w:t>
                      </w:r>
                      <w:r>
                        <w:rPr>
                          <w:rFonts w:ascii="Arial" w:hAnsi="Arial" w:cs="Arial" w:eastAsia="Arial"/>
                          <w:color w:val="231F20"/>
                          <w:spacing w:val="-15"/>
                          <w:sz w:val="14"/>
                          <w:szCs w:val="14"/>
                        </w:rPr>
                        <w:t> </w:t>
                      </w:r>
                      <w:r>
                        <w:rPr>
                          <w:rFonts w:ascii="Arial" w:hAnsi="Arial" w:cs="Arial" w:eastAsia="Arial"/>
                          <w:color w:val="231F20"/>
                          <w:sz w:val="14"/>
                          <w:szCs w:val="14"/>
                        </w:rPr>
                        <w:t>2</w:t>
                      </w:r>
                    </w:hyperlink>
                    <w:r>
                      <w:rPr>
                        <w:rFonts w:ascii="Arial" w:hAnsi="Arial" w:cs="Arial" w:eastAsia="Arial"/>
                        <w:color w:val="231F20"/>
                        <w:sz w:val="14"/>
                        <w:szCs w:val="14"/>
                      </w:rPr>
                      <w:t>).</w:t>
                    </w:r>
                  </w:p>
                </w:txbxContent>
              </v:textbox>
              <v:stroke dashstyle="solid"/>
              <w10:wrap type="none"/>
            </v:shape>
          </v:group>
        </w:pict>
      </w:r>
      <w:r>
        <w:rPr>
          <w:sz w:val="20"/>
        </w:rPr>
      </w:r>
    </w:p>
    <w:p>
      <w:pPr>
        <w:pStyle w:val="BodyText"/>
        <w:spacing w:before="4"/>
        <w:ind w:left="0"/>
        <w:rPr>
          <w:sz w:val="18"/>
        </w:rPr>
      </w:pPr>
    </w:p>
    <w:p>
      <w:pPr>
        <w:spacing w:after="0"/>
        <w:rPr>
          <w:sz w:val="18"/>
        </w:rPr>
        <w:sectPr>
          <w:pgSz w:w="11910" w:h="15600"/>
          <w:pgMar w:header="560" w:footer="588" w:top="840" w:bottom="780" w:left="740" w:right="740"/>
        </w:sectPr>
      </w:pPr>
    </w:p>
    <w:p>
      <w:pPr>
        <w:pStyle w:val="BodyText"/>
        <w:spacing w:line="213" w:lineRule="auto" w:before="107"/>
        <w:ind w:firstLine="229"/>
        <w:jc w:val="both"/>
      </w:pPr>
      <w:r>
        <w:rPr/>
        <w:pict>
          <v:rect style="position:absolute;margin-left:138.110947pt;margin-top:108.113602pt;width:155.747900pt;height:11.457pt;mso-position-horizontal-relative:page;mso-position-vertical-relative:paragraph;z-index:-40600" filled="true" fillcolor="#fde164" stroked="false">
            <v:fill opacity="26214f" type="solid"/>
            <w10:wrap type="none"/>
          </v:rect>
        </w:pict>
      </w:r>
      <w:r>
        <w:rPr>
          <w:color w:val="231F20"/>
        </w:rPr>
        <w:t>An optimal electrode position with respect to  aVN  </w:t>
      </w:r>
      <w:r>
        <w:rPr>
          <w:color w:val="231F20"/>
          <w:spacing w:val="-4"/>
        </w:rPr>
        <w:t>fibers  </w:t>
      </w:r>
      <w:r>
        <w:rPr>
          <w:color w:val="231F20"/>
        </w:rPr>
        <w:t>and the required penetration depth  of  needle  electrodes  </w:t>
      </w:r>
      <w:r>
        <w:rPr>
          <w:color w:val="231F20"/>
          <w:spacing w:val="-5"/>
        </w:rPr>
        <w:t>for  </w:t>
      </w:r>
      <w:r>
        <w:rPr>
          <w:color w:val="231F20"/>
        </w:rPr>
        <w:t>the percutaneous aVNS are other important optimisation parameters. The larger is the depth, the easier is the nerve recruitment, i.e., the lower are the activation thresholds of auricular axons and the larger is the percentage of activated axons. In particular, the closer is an electrode to the axon, </w:t>
      </w:r>
      <w:r>
        <w:rPr>
          <w:color w:val="231F20"/>
          <w:spacing w:val="-4"/>
        </w:rPr>
        <w:t>the </w:t>
      </w:r>
      <w:r>
        <w:rPr>
          <w:color w:val="231F20"/>
        </w:rPr>
        <w:t>lower is its activation threshold. However, cathodic block with an inhibited propagation of action impulses can also arise for an axon</w:t>
      </w:r>
      <w:r>
        <w:rPr>
          <w:color w:val="231F20"/>
          <w:spacing w:val="17"/>
        </w:rPr>
        <w:t> </w:t>
      </w:r>
      <w:r>
        <w:rPr>
          <w:color w:val="231F20"/>
        </w:rPr>
        <w:t>residing</w:t>
      </w:r>
      <w:r>
        <w:rPr>
          <w:color w:val="231F20"/>
          <w:spacing w:val="17"/>
        </w:rPr>
        <w:t> </w:t>
      </w:r>
      <w:r>
        <w:rPr>
          <w:color w:val="231F20"/>
        </w:rPr>
        <w:t>too</w:t>
      </w:r>
      <w:r>
        <w:rPr>
          <w:color w:val="231F20"/>
          <w:spacing w:val="18"/>
        </w:rPr>
        <w:t> </w:t>
      </w:r>
      <w:r>
        <w:rPr>
          <w:color w:val="231F20"/>
        </w:rPr>
        <w:t>close.</w:t>
      </w:r>
      <w:r>
        <w:rPr>
          <w:color w:val="231F20"/>
          <w:spacing w:val="17"/>
        </w:rPr>
        <w:t> </w:t>
      </w:r>
      <w:r>
        <w:rPr>
          <w:color w:val="231F20"/>
        </w:rPr>
        <w:t>Therefore,</w:t>
      </w:r>
      <w:r>
        <w:rPr>
          <w:color w:val="231F20"/>
          <w:spacing w:val="18"/>
        </w:rPr>
        <w:t> </w:t>
      </w:r>
      <w:r>
        <w:rPr>
          <w:color w:val="231F20"/>
        </w:rPr>
        <w:t>the</w:t>
      </w:r>
      <w:r>
        <w:rPr>
          <w:color w:val="231F20"/>
          <w:spacing w:val="17"/>
        </w:rPr>
        <w:t> </w:t>
      </w:r>
      <w:r>
        <w:rPr>
          <w:color w:val="231F20"/>
        </w:rPr>
        <w:t>numerical</w:t>
      </w:r>
      <w:r>
        <w:rPr>
          <w:color w:val="231F20"/>
          <w:spacing w:val="17"/>
        </w:rPr>
        <w:t> </w:t>
      </w:r>
      <w:r>
        <w:rPr>
          <w:color w:val="231F20"/>
        </w:rPr>
        <w:t>simulation</w:t>
      </w:r>
      <w:r>
        <w:rPr>
          <w:color w:val="231F20"/>
          <w:spacing w:val="18"/>
        </w:rPr>
        <w:t> </w:t>
      </w:r>
      <w:r>
        <w:rPr>
          <w:color w:val="231F20"/>
          <w:spacing w:val="-7"/>
        </w:rPr>
        <w:t>of</w:t>
      </w:r>
    </w:p>
    <w:p>
      <w:pPr>
        <w:pStyle w:val="BodyText"/>
        <w:ind w:left="116" w:right="-101"/>
        <w:rPr>
          <w:sz w:val="20"/>
        </w:rPr>
      </w:pPr>
      <w:r>
        <w:rPr>
          <w:sz w:val="20"/>
        </w:rPr>
        <w:pict>
          <v:group style="width:251.05pt;height:23.6pt;mso-position-horizontal-relative:char;mso-position-vertical-relative:line" coordorigin="0,0" coordsize="5021,472">
            <v:shape style="position:absolute;left:0;top:229;width:5021;height:243" coordorigin="0,229" coordsize="5021,243" path="m4978,229l43,229,11,283,0,350,11,418,43,472,4978,472,5010,418,5020,350,5010,283,4978,229xe" filled="true" fillcolor="#fde164" stroked="false">
              <v:path arrowok="t"/>
              <v:fill opacity="26214f" type="solid"/>
            </v:shape>
            <v:shape style="position:absolute;left:0;top:235;width:5021;height:236" type="#_x0000_t202" filled="false" stroked="false">
              <v:textbox inset="0,0,0,0">
                <w:txbxContent>
                  <w:p>
                    <w:pPr>
                      <w:spacing w:line="236" w:lineRule="exact" w:before="0"/>
                      <w:ind w:left="42" w:right="0" w:firstLine="0"/>
                      <w:jc w:val="left"/>
                      <w:rPr>
                        <w:sz w:val="19"/>
                      </w:rPr>
                    </w:pPr>
                    <w:r>
                      <w:rPr>
                        <w:color w:val="231F20"/>
                        <w:sz w:val="19"/>
                      </w:rPr>
                      <w:t>ideally adapted to the individual vessel/nerve wiring of the ear.</w:t>
                    </w:r>
                  </w:p>
                </w:txbxContent>
              </v:textbox>
              <w10:wrap type="none"/>
            </v:shape>
            <v:shape style="position:absolute;left:0;top:0;width:5021;height:236" type="#_x0000_t202" filled="true" fillcolor="#fde164" stroked="false">
              <v:textbox inset="0,0,0,0">
                <w:txbxContent>
                  <w:p>
                    <w:pPr>
                      <w:spacing w:line="236" w:lineRule="exact" w:before="0"/>
                      <w:ind w:left="42" w:right="0" w:firstLine="0"/>
                      <w:jc w:val="left"/>
                      <w:rPr>
                        <w:sz w:val="19"/>
                      </w:rPr>
                    </w:pPr>
                    <w:r>
                      <w:rPr>
                        <w:color w:val="231F20"/>
                        <w:sz w:val="19"/>
                      </w:rPr>
                      <w:t>aVNS indicates that the placement of needle electrodes should be</w:t>
                    </w:r>
                  </w:p>
                </w:txbxContent>
              </v:textbox>
              <v:fill opacity="26214f" type="solid"/>
              <w10:wrap type="none"/>
            </v:shape>
          </v:group>
        </w:pict>
      </w:r>
      <w:r>
        <w:rPr>
          <w:sz w:val="20"/>
        </w:rPr>
      </w:r>
    </w:p>
    <w:p>
      <w:pPr>
        <w:pStyle w:val="BodyText"/>
        <w:spacing w:line="213" w:lineRule="auto"/>
        <w:jc w:val="both"/>
      </w:pPr>
      <w:r>
        <w:rPr>
          <w:color w:val="231F20"/>
        </w:rPr>
        <w:t>Simulations showed that a small distance of about 1 mm </w:t>
      </w:r>
      <w:r>
        <w:rPr>
          <w:color w:val="231F20"/>
          <w:spacing w:val="-4"/>
        </w:rPr>
        <w:t>should </w:t>
      </w:r>
      <w:r>
        <w:rPr>
          <w:color w:val="231F20"/>
        </w:rPr>
        <w:t>be kept to vessels/nerves to avoid both subthreshold stimulation and cathodic block, as well as to avoid potential damage </w:t>
      </w:r>
      <w:r>
        <w:rPr>
          <w:color w:val="231F20"/>
          <w:spacing w:val="-6"/>
        </w:rPr>
        <w:t>of </w:t>
      </w:r>
      <w:r>
        <w:rPr>
          <w:color w:val="231F20"/>
        </w:rPr>
        <w:t>vessel/nerves</w:t>
      </w:r>
      <w:r>
        <w:rPr>
          <w:color w:val="231F20"/>
          <w:spacing w:val="-6"/>
        </w:rPr>
        <w:t> </w:t>
      </w:r>
      <w:r>
        <w:rPr>
          <w:color w:val="231F20"/>
        </w:rPr>
        <w:t>by</w:t>
      </w:r>
      <w:r>
        <w:rPr>
          <w:color w:val="231F20"/>
          <w:spacing w:val="-5"/>
        </w:rPr>
        <w:t> </w:t>
      </w:r>
      <w:r>
        <w:rPr>
          <w:color w:val="231F20"/>
        </w:rPr>
        <w:t>the</w:t>
      </w:r>
      <w:r>
        <w:rPr>
          <w:color w:val="231F20"/>
          <w:spacing w:val="-6"/>
        </w:rPr>
        <w:t> </w:t>
      </w:r>
      <w:r>
        <w:rPr>
          <w:color w:val="231F20"/>
        </w:rPr>
        <w:t>chronic</w:t>
      </w:r>
      <w:r>
        <w:rPr>
          <w:color w:val="231F20"/>
          <w:spacing w:val="-5"/>
        </w:rPr>
        <w:t> </w:t>
      </w:r>
      <w:r>
        <w:rPr>
          <w:color w:val="231F20"/>
        </w:rPr>
        <w:t>electrode</w:t>
      </w:r>
      <w:r>
        <w:rPr>
          <w:color w:val="231F20"/>
          <w:spacing w:val="-6"/>
        </w:rPr>
        <w:t> </w:t>
      </w:r>
      <w:r>
        <w:rPr>
          <w:color w:val="231F20"/>
        </w:rPr>
        <w:t>presence</w:t>
      </w:r>
      <w:r>
        <w:rPr>
          <w:color w:val="231F20"/>
          <w:spacing w:val="-5"/>
        </w:rPr>
        <w:t> </w:t>
      </w:r>
      <w:r>
        <w:rPr>
          <w:color w:val="231F20"/>
        </w:rPr>
        <w:t>and</w:t>
      </w:r>
      <w:r>
        <w:rPr>
          <w:color w:val="231F20"/>
          <w:spacing w:val="-5"/>
        </w:rPr>
        <w:t> </w:t>
      </w:r>
      <w:r>
        <w:rPr>
          <w:color w:val="231F20"/>
        </w:rPr>
        <w:t>to</w:t>
      </w:r>
      <w:r>
        <w:rPr>
          <w:color w:val="231F20"/>
          <w:spacing w:val="-6"/>
        </w:rPr>
        <w:t> </w:t>
      </w:r>
      <w:r>
        <w:rPr>
          <w:color w:val="231F20"/>
        </w:rPr>
        <w:t>avoid</w:t>
      </w:r>
      <w:r>
        <w:rPr>
          <w:color w:val="231F20"/>
          <w:spacing w:val="-5"/>
        </w:rPr>
        <w:t> </w:t>
      </w:r>
      <w:r>
        <w:rPr>
          <w:color w:val="231F20"/>
        </w:rPr>
        <w:t>local bleeding.</w:t>
      </w:r>
      <w:r>
        <w:rPr>
          <w:color w:val="231F20"/>
          <w:spacing w:val="-5"/>
        </w:rPr>
        <w:t> </w:t>
      </w:r>
      <w:r>
        <w:rPr>
          <w:color w:val="231F20"/>
        </w:rPr>
        <w:t>Please</w:t>
      </w:r>
      <w:r>
        <w:rPr>
          <w:color w:val="231F20"/>
          <w:spacing w:val="-5"/>
        </w:rPr>
        <w:t> </w:t>
      </w:r>
      <w:r>
        <w:rPr>
          <w:color w:val="231F20"/>
        </w:rPr>
        <w:t>recall</w:t>
      </w:r>
      <w:r>
        <w:rPr>
          <w:color w:val="231F20"/>
          <w:spacing w:val="-5"/>
        </w:rPr>
        <w:t> </w:t>
      </w:r>
      <w:r>
        <w:rPr>
          <w:color w:val="231F20"/>
        </w:rPr>
        <w:t>that</w:t>
      </w:r>
      <w:r>
        <w:rPr>
          <w:color w:val="231F20"/>
          <w:spacing w:val="-5"/>
        </w:rPr>
        <w:t> </w:t>
      </w:r>
      <w:r>
        <w:rPr>
          <w:color w:val="231F20"/>
        </w:rPr>
        <w:t>individual</w:t>
      </w:r>
      <w:r>
        <w:rPr>
          <w:color w:val="231F20"/>
          <w:spacing w:val="-5"/>
        </w:rPr>
        <w:t> </w:t>
      </w:r>
      <w:r>
        <w:rPr>
          <w:color w:val="231F20"/>
        </w:rPr>
        <w:t>aVN</w:t>
      </w:r>
      <w:r>
        <w:rPr>
          <w:color w:val="231F20"/>
          <w:spacing w:val="-4"/>
        </w:rPr>
        <w:t> </w:t>
      </w:r>
      <w:r>
        <w:rPr>
          <w:color w:val="231F20"/>
        </w:rPr>
        <w:t>fibers</w:t>
      </w:r>
      <w:r>
        <w:rPr>
          <w:color w:val="231F20"/>
          <w:spacing w:val="-5"/>
        </w:rPr>
        <w:t> </w:t>
      </w:r>
      <w:r>
        <w:rPr>
          <w:color w:val="231F20"/>
        </w:rPr>
        <w:t>can</w:t>
      </w:r>
      <w:r>
        <w:rPr>
          <w:color w:val="231F20"/>
          <w:spacing w:val="-5"/>
        </w:rPr>
        <w:t> </w:t>
      </w:r>
      <w:r>
        <w:rPr>
          <w:color w:val="231F20"/>
        </w:rPr>
        <w:t>be</w:t>
      </w:r>
      <w:r>
        <w:rPr>
          <w:color w:val="231F20"/>
          <w:spacing w:val="-5"/>
        </w:rPr>
        <w:t> </w:t>
      </w:r>
      <w:r>
        <w:rPr>
          <w:color w:val="231F20"/>
        </w:rPr>
        <w:t>disclosed by the transillumination method (</w:t>
      </w:r>
      <w:hyperlink w:history="true" w:anchor="_bookmark2">
        <w:r>
          <w:rPr>
            <w:b/>
            <w:color w:val="231F20"/>
          </w:rPr>
          <w:t>Figure</w:t>
        </w:r>
        <w:r>
          <w:rPr>
            <w:b/>
            <w:color w:val="231F20"/>
            <w:spacing w:val="-1"/>
          </w:rPr>
          <w:t> </w:t>
        </w:r>
        <w:r>
          <w:rPr>
            <w:b/>
            <w:color w:val="231F20"/>
          </w:rPr>
          <w:t>2D</w:t>
        </w:r>
      </w:hyperlink>
      <w:r>
        <w:rPr>
          <w:color w:val="231F20"/>
        </w:rPr>
        <w:t>).</w:t>
      </w:r>
    </w:p>
    <w:p>
      <w:pPr>
        <w:pStyle w:val="BodyText"/>
        <w:spacing w:line="208" w:lineRule="auto" w:before="4"/>
        <w:ind w:firstLine="229"/>
        <w:jc w:val="both"/>
        <w:rPr>
          <w:rFonts w:ascii="Arial Black" w:hAnsi="Arial Black"/>
        </w:rPr>
      </w:pPr>
      <w:r>
        <w:rPr/>
        <w:pict>
          <v:group style="position:absolute;margin-left:42.835449pt;margin-top:34.034679pt;width:108.25pt;height:11.5pt;mso-position-horizontal-relative:page;mso-position-vertical-relative:paragraph;z-index:-40648" coordorigin="857,681" coordsize="2165,230">
            <v:shape style="position:absolute;left:2863;top:725;width:158;height:171" coordorigin="2863,725" coordsize="158,171" path="m2991,725l2894,725,2871,763,2863,810,2871,858,2894,895,2991,895,3013,858,3021,810,3013,763,2991,725xe" filled="true" fillcolor="#fde164" stroked="false">
              <v:path arrowok="t"/>
              <v:fill opacity="26214f" type="solid"/>
            </v:shape>
            <v:rect style="position:absolute;left:856;top:680;width:2080;height:230" filled="true" fillcolor="#fde164" stroked="false">
              <v:fill opacity="26214f" type="solid"/>
            </v:rect>
            <w10:wrap type="none"/>
          </v:group>
        </w:pict>
      </w:r>
      <w:r>
        <w:rPr/>
        <w:pict>
          <v:rect style="position:absolute;margin-left:182.399918pt;margin-top:22.577679pt;width:111.458625pt;height:11.457pt;mso-position-horizontal-relative:page;mso-position-vertical-relative:paragraph;z-index:-40624" filled="true" fillcolor="#fde164" stroked="false">
            <v:fill opacity="26214f" type="solid"/>
            <w10:wrap type="none"/>
          </v:rect>
        </w:pict>
      </w:r>
      <w:r>
        <w:rPr/>
        <w:pict>
          <v:shape style="position:absolute;margin-left:152.401443pt;margin-top:36.257580pt;width:141.5pt;height:8.550pt;mso-position-horizontal-relative:page;mso-position-vertical-relative:paragraph;z-index:-40432" type="#_x0000_t202" filled="true" fillcolor="#fde164" stroked="false">
            <v:textbox inset="0,0,0,0">
              <w:txbxContent>
                <w:p>
                  <w:pPr>
                    <w:pStyle w:val="BodyText"/>
                    <w:spacing w:line="170" w:lineRule="exact"/>
                    <w:ind w:left="42"/>
                  </w:pPr>
                  <w:r>
                    <w:rPr>
                      <w:color w:val="231F20"/>
                    </w:rPr>
                    <w:t>fibers (responsible for mechanical</w:t>
                  </w:r>
                </w:p>
              </w:txbxContent>
            </v:textbox>
            <v:fill opacity="26214f" type="solid"/>
            <w10:wrap type="none"/>
          </v:shape>
        </w:pict>
      </w:r>
      <w:r>
        <w:rPr>
          <w:color w:val="231F20"/>
        </w:rPr>
        <w:t>The temporal pattern and intensity of the applied stimulus can be optimized with respect to the required fiber recruitment and the selectivity of stimulation. In terms of selectivity, the simulation targets are A</w:t>
      </w:r>
      <w:r>
        <w:rPr>
          <w:rFonts w:ascii="Arial Black" w:hAnsi="Arial Black"/>
          <w:color w:val="231F20"/>
        </w:rPr>
        <w:t>β</w:t>
      </w:r>
    </w:p>
    <w:p>
      <w:pPr>
        <w:pStyle w:val="BodyText"/>
        <w:spacing w:line="235" w:lineRule="exact"/>
        <w:ind w:left="116" w:right="-101"/>
        <w:rPr>
          <w:rFonts w:ascii="Arial Black"/>
          <w:sz w:val="20"/>
        </w:rPr>
      </w:pPr>
      <w:r>
        <w:rPr>
          <w:rFonts w:ascii="Arial Black"/>
          <w:position w:val="-4"/>
          <w:sz w:val="20"/>
        </w:rPr>
        <w:pict>
          <v:shape style="width:251.05pt;height:11.8pt;mso-position-horizontal-relative:char;mso-position-vertical-relative:line" type="#_x0000_t202" filled="true" fillcolor="#fde164" stroked="false">
            <w10:anchorlock/>
            <v:textbox inset="0,0,0,0">
              <w:txbxContent>
                <w:p>
                  <w:pPr>
                    <w:pStyle w:val="BodyText"/>
                    <w:spacing w:line="236" w:lineRule="exact"/>
                    <w:ind w:left="42"/>
                  </w:pPr>
                  <w:r>
                    <w:rPr>
                      <w:color w:val="231F20"/>
                    </w:rPr>
                    <w:t>sensing)</w:t>
                  </w:r>
                  <w:r>
                    <w:rPr>
                      <w:color w:val="231F20"/>
                      <w:spacing w:val="-15"/>
                    </w:rPr>
                    <w:t> </w:t>
                  </w:r>
                  <w:r>
                    <w:rPr>
                      <w:color w:val="231F20"/>
                    </w:rPr>
                    <w:t>but</w:t>
                  </w:r>
                  <w:r>
                    <w:rPr>
                      <w:color w:val="231F20"/>
                      <w:spacing w:val="-15"/>
                    </w:rPr>
                    <w:t> </w:t>
                  </w:r>
                  <w:r>
                    <w:rPr>
                      <w:color w:val="231F20"/>
                    </w:rPr>
                    <w:t>not</w:t>
                  </w:r>
                  <w:r>
                    <w:rPr>
                      <w:color w:val="231F20"/>
                      <w:spacing w:val="-15"/>
                    </w:rPr>
                    <w:t> </w:t>
                  </w:r>
                  <w:r>
                    <w:rPr>
                      <w:color w:val="231F20"/>
                    </w:rPr>
                    <w:t>A</w:t>
                  </w:r>
                  <w:r>
                    <w:rPr>
                      <w:rFonts w:ascii="Arial Black" w:hAnsi="Arial Black"/>
                      <w:color w:val="231F20"/>
                    </w:rPr>
                    <w:t>δ</w:t>
                  </w:r>
                  <w:r>
                    <w:rPr>
                      <w:rFonts w:ascii="Arial Black" w:hAnsi="Arial Black"/>
                      <w:color w:val="231F20"/>
                      <w:spacing w:val="-35"/>
                    </w:rPr>
                    <w:t> </w:t>
                  </w:r>
                  <w:r>
                    <w:rPr>
                      <w:color w:val="231F20"/>
                    </w:rPr>
                    <w:t>fibers</w:t>
                  </w:r>
                  <w:r>
                    <w:rPr>
                      <w:color w:val="231F20"/>
                      <w:spacing w:val="-15"/>
                    </w:rPr>
                    <w:t> </w:t>
                  </w:r>
                  <w:r>
                    <w:rPr>
                      <w:color w:val="231F20"/>
                    </w:rPr>
                    <w:t>(for</w:t>
                  </w:r>
                  <w:r>
                    <w:rPr>
                      <w:color w:val="231F20"/>
                      <w:spacing w:val="-15"/>
                    </w:rPr>
                    <w:t> </w:t>
                  </w:r>
                  <w:r>
                    <w:rPr>
                      <w:color w:val="231F20"/>
                    </w:rPr>
                    <w:t>pain</w:t>
                  </w:r>
                  <w:r>
                    <w:rPr>
                      <w:color w:val="231F20"/>
                      <w:spacing w:val="-15"/>
                    </w:rPr>
                    <w:t> </w:t>
                  </w:r>
                  <w:r>
                    <w:rPr>
                      <w:color w:val="231F20"/>
                    </w:rPr>
                    <w:t>sensation)</w:t>
                  </w:r>
                  <w:r>
                    <w:rPr>
                      <w:color w:val="231F20"/>
                      <w:spacing w:val="-14"/>
                    </w:rPr>
                    <w:t> </w:t>
                  </w:r>
                  <w:r>
                    <w:rPr>
                      <w:color w:val="231F20"/>
                    </w:rPr>
                    <w:t>so</w:t>
                  </w:r>
                  <w:r>
                    <w:rPr>
                      <w:color w:val="231F20"/>
                      <w:spacing w:val="-15"/>
                    </w:rPr>
                    <w:t> </w:t>
                  </w:r>
                  <w:r>
                    <w:rPr>
                      <w:color w:val="231F20"/>
                    </w:rPr>
                    <w:t>that</w:t>
                  </w:r>
                  <w:r>
                    <w:rPr>
                      <w:color w:val="231F20"/>
                      <w:spacing w:val="-15"/>
                    </w:rPr>
                    <w:t> </w:t>
                  </w:r>
                  <w:r>
                    <w:rPr>
                      <w:color w:val="231F20"/>
                    </w:rPr>
                    <w:t>depolarising</w:t>
                  </w:r>
                </w:p>
              </w:txbxContent>
            </v:textbox>
            <v:fill opacity="26214f" type="solid"/>
          </v:shape>
        </w:pict>
      </w:r>
      <w:r>
        <w:rPr>
          <w:rFonts w:ascii="Arial Black"/>
          <w:position w:val="-4"/>
          <w:sz w:val="20"/>
        </w:rPr>
      </w:r>
    </w:p>
    <w:p>
      <w:pPr>
        <w:pStyle w:val="BodyText"/>
        <w:spacing w:line="213" w:lineRule="auto" w:before="107"/>
        <w:ind w:right="155"/>
        <w:jc w:val="both"/>
      </w:pPr>
      <w:r>
        <w:rPr/>
        <w:br w:type="column"/>
      </w:r>
      <w:r>
        <w:rPr>
          <w:color w:val="231F20"/>
        </w:rPr>
        <w:t>maximizing the total recruitment volume in the ear enclosing multiple fibers at both anode and cathode, biphasic waveform seems to be in favor of monophasic waveform. Then numerous fibers below anode and cathode – disjoint fiber populations – would experience successive cathodic stimulation (with a low threshold) and anodic stimulation (with a high threshold).</w:t>
      </w:r>
    </w:p>
    <w:p>
      <w:pPr>
        <w:pStyle w:val="BodyText"/>
        <w:ind w:left="0"/>
        <w:rPr>
          <w:sz w:val="24"/>
        </w:rPr>
      </w:pPr>
    </w:p>
    <w:p>
      <w:pPr>
        <w:pStyle w:val="BodyText"/>
        <w:spacing w:before="6"/>
        <w:ind w:left="0"/>
        <w:rPr>
          <w:sz w:val="27"/>
        </w:rPr>
      </w:pPr>
    </w:p>
    <w:p>
      <w:pPr>
        <w:pStyle w:val="BodyText"/>
        <w:spacing w:line="213" w:lineRule="auto"/>
        <w:ind w:right="155" w:firstLine="4227"/>
        <w:jc w:val="both"/>
      </w:pPr>
      <w:r>
        <w:rPr/>
        <w:pict>
          <v:shape style="position:absolute;margin-left:301.521454pt;margin-top:.324895pt;width:208.6pt;height:11.5pt;mso-position-horizontal-relative:page;mso-position-vertical-relative:paragraph;z-index:-40528" type="#_x0000_t202" filled="true" fillcolor="#fde164" stroked="false">
            <v:textbox inset="0,0,0,0">
              <w:txbxContent>
                <w:p>
                  <w:pPr>
                    <w:pStyle w:val="BodyText"/>
                    <w:spacing w:line="229" w:lineRule="exact"/>
                    <w:ind w:left="42" w:right="-101"/>
                  </w:pPr>
                  <w:r>
                    <w:rPr>
                      <w:color w:val="231F20"/>
                    </w:rPr>
                    <w:t>volume</w:t>
                  </w:r>
                  <w:r>
                    <w:rPr>
                      <w:color w:val="231F20"/>
                      <w:spacing w:val="24"/>
                    </w:rPr>
                    <w:t> </w:t>
                  </w:r>
                  <w:r>
                    <w:rPr>
                      <w:color w:val="231F20"/>
                    </w:rPr>
                    <w:t>even</w:t>
                  </w:r>
                  <w:r>
                    <w:rPr>
                      <w:color w:val="231F20"/>
                      <w:spacing w:val="24"/>
                    </w:rPr>
                    <w:t> </w:t>
                  </w:r>
                  <w:r>
                    <w:rPr>
                      <w:color w:val="231F20"/>
                    </w:rPr>
                    <w:t>more</w:t>
                  </w:r>
                  <w:r>
                    <w:rPr>
                      <w:color w:val="231F20"/>
                      <w:spacing w:val="25"/>
                    </w:rPr>
                    <w:t> </w:t>
                  </w:r>
                  <w:r>
                    <w:rPr>
                      <w:color w:val="231F20"/>
                    </w:rPr>
                    <w:t>(</w:t>
                  </w:r>
                  <w:hyperlink w:history="true" w:anchor="_bookmark83">
                    <w:r>
                      <w:rPr>
                        <w:color w:val="6D6E71"/>
                      </w:rPr>
                      <w:t>Reilly</w:t>
                    </w:r>
                    <w:r>
                      <w:rPr>
                        <w:color w:val="6D6E71"/>
                        <w:spacing w:val="24"/>
                      </w:rPr>
                      <w:t> </w:t>
                    </w:r>
                    <w:r>
                      <w:rPr>
                        <w:color w:val="6D6E71"/>
                      </w:rPr>
                      <w:t>and</w:t>
                    </w:r>
                    <w:r>
                      <w:rPr>
                        <w:color w:val="6D6E71"/>
                        <w:spacing w:val="24"/>
                      </w:rPr>
                      <w:t> </w:t>
                    </w:r>
                    <w:r>
                      <w:rPr>
                        <w:color w:val="6D6E71"/>
                      </w:rPr>
                      <w:t>Diamant</w:t>
                    </w:r>
                  </w:hyperlink>
                  <w:r>
                    <w:rPr>
                      <w:color w:val="6D6E71"/>
                    </w:rPr>
                    <w:t>,</w:t>
                  </w:r>
                  <w:r>
                    <w:rPr>
                      <w:color w:val="6D6E71"/>
                      <w:spacing w:val="25"/>
                    </w:rPr>
                    <w:t> </w:t>
                  </w:r>
                  <w:hyperlink w:history="true" w:anchor="_bookmark83">
                    <w:r>
                      <w:rPr>
                        <w:color w:val="6D6E71"/>
                      </w:rPr>
                      <w:t>2011</w:t>
                    </w:r>
                  </w:hyperlink>
                  <w:r>
                    <w:rPr>
                      <w:color w:val="231F20"/>
                    </w:rPr>
                    <w:t>).</w:t>
                  </w:r>
                  <w:r>
                    <w:rPr>
                      <w:color w:val="231F20"/>
                      <w:spacing w:val="25"/>
                    </w:rPr>
                    <w:t> </w:t>
                  </w:r>
                  <w:r>
                    <w:rPr>
                      <w:color w:val="231F20"/>
                      <w:spacing w:val="-13"/>
                    </w:rPr>
                    <w:t>O</w:t>
                  </w:r>
                </w:p>
              </w:txbxContent>
            </v:textbox>
            <v:fill opacity="26214f" type="solid"/>
            <w10:wrap type="none"/>
          </v:shape>
        </w:pict>
      </w:r>
      <w:r>
        <w:rPr/>
        <w:pict>
          <v:shape style="position:absolute;margin-left:301.521454pt;margin-top:-34.720406pt;width:251.05pt;height:35.050pt;mso-position-horizontal-relative:page;mso-position-vertical-relative:paragraph;z-index:2968" type="#_x0000_t202" filled="true" fillcolor="#fde164" stroked="false">
            <v:textbox inset="0,0,0,0">
              <w:txbxContent>
                <w:p>
                  <w:pPr>
                    <w:pStyle w:val="BodyText"/>
                    <w:spacing w:line="213" w:lineRule="auto" w:before="7"/>
                    <w:ind w:left="42" w:right="40"/>
                    <w:jc w:val="both"/>
                  </w:pPr>
                  <w:r>
                    <w:rPr>
                      <w:color w:val="231F20"/>
                    </w:rPr>
                    <w:t>particular, the largest recruitment volume results when the biphasic waveform includes an interphase  interval  lowering  the</w:t>
                  </w:r>
                  <w:r>
                    <w:rPr>
                      <w:color w:val="231F20"/>
                      <w:spacing w:val="32"/>
                    </w:rPr>
                    <w:t> </w:t>
                  </w:r>
                  <w:r>
                    <w:rPr>
                      <w:color w:val="231F20"/>
                    </w:rPr>
                    <w:t>stimulation</w:t>
                  </w:r>
                  <w:r>
                    <w:rPr>
                      <w:color w:val="231F20"/>
                      <w:spacing w:val="33"/>
                    </w:rPr>
                    <w:t> </w:t>
                  </w:r>
                  <w:r>
                    <w:rPr>
                      <w:color w:val="231F20"/>
                    </w:rPr>
                    <w:t>threshold</w:t>
                  </w:r>
                  <w:r>
                    <w:rPr>
                      <w:color w:val="231F20"/>
                      <w:spacing w:val="33"/>
                    </w:rPr>
                    <w:t> </w:t>
                  </w:r>
                  <w:r>
                    <w:rPr>
                      <w:color w:val="231F20"/>
                    </w:rPr>
                    <w:t>and</w:t>
                  </w:r>
                  <w:r>
                    <w:rPr>
                      <w:color w:val="231F20"/>
                      <w:spacing w:val="33"/>
                    </w:rPr>
                    <w:t> </w:t>
                  </w:r>
                  <w:r>
                    <w:rPr>
                      <w:color w:val="231F20"/>
                    </w:rPr>
                    <w:t>thus</w:t>
                  </w:r>
                  <w:r>
                    <w:rPr>
                      <w:color w:val="231F20"/>
                      <w:spacing w:val="33"/>
                    </w:rPr>
                    <w:t> </w:t>
                  </w:r>
                  <w:r>
                    <w:rPr>
                      <w:color w:val="231F20"/>
                    </w:rPr>
                    <w:t>increasing</w:t>
                  </w:r>
                  <w:r>
                    <w:rPr>
                      <w:color w:val="231F20"/>
                      <w:spacing w:val="33"/>
                    </w:rPr>
                    <w:t> </w:t>
                  </w:r>
                  <w:r>
                    <w:rPr>
                      <w:color w:val="231F20"/>
                    </w:rPr>
                    <w:t>the</w:t>
                  </w:r>
                  <w:r>
                    <w:rPr>
                      <w:color w:val="231F20"/>
                      <w:spacing w:val="32"/>
                    </w:rPr>
                    <w:t> </w:t>
                  </w:r>
                  <w:r>
                    <w:rPr>
                      <w:color w:val="231F20"/>
                    </w:rPr>
                    <w:t>recruitment</w:t>
                  </w:r>
                </w:p>
              </w:txbxContent>
            </v:textbox>
            <v:fill opacity="26214f" type="solid"/>
            <w10:wrap type="none"/>
          </v:shape>
        </w:pict>
      </w:r>
      <w:r>
        <w:rPr/>
        <w:pict>
          <v:shape style="position:absolute;margin-left:539.818909pt;margin-top:-46.177406pt;width:12.75pt;height:11.5pt;mso-position-horizontal-relative:page;mso-position-vertical-relative:paragraph;z-index:-40480" type="#_x0000_t202" filled="true" fillcolor="#fde164" stroked="false">
            <v:textbox inset="0,0,0,0">
              <w:txbxContent>
                <w:p>
                  <w:pPr>
                    <w:pStyle w:val="BodyText"/>
                    <w:spacing w:line="229" w:lineRule="exact"/>
                    <w:ind w:left="42"/>
                  </w:pPr>
                  <w:r>
                    <w:rPr>
                      <w:color w:val="231F20"/>
                    </w:rPr>
                    <w:t>In</w:t>
                  </w:r>
                </w:p>
              </w:txbxContent>
            </v:textbox>
            <v:fill opacity="26214f" type="solid"/>
            <w10:wrap type="none"/>
          </v:shape>
        </w:pict>
      </w:r>
      <w:r>
        <w:rPr>
          <w:color w:val="231F20"/>
        </w:rPr>
        <w:t>f course, monophasic pulses should also be avoided to prevent the charge imbalance on the electrode/tissue boundary and thus to avoid irreversible electrochemical reactions (</w:t>
      </w:r>
      <w:hyperlink w:history="true" w:anchor="_bookmark48">
        <w:r>
          <w:rPr>
            <w:color w:val="6D6E71"/>
          </w:rPr>
          <w:t>Kaniusas</w:t>
        </w:r>
      </w:hyperlink>
      <w:r>
        <w:rPr>
          <w:color w:val="6D6E71"/>
        </w:rPr>
        <w:t>, </w:t>
      </w:r>
      <w:hyperlink w:history="true" w:anchor="_bookmark48">
        <w:r>
          <w:rPr>
            <w:color w:val="6D6E71"/>
          </w:rPr>
          <w:t>2019</w:t>
        </w:r>
      </w:hyperlink>
      <w:r>
        <w:rPr>
          <w:color w:val="231F20"/>
        </w:rPr>
        <w:t>).</w:t>
      </w:r>
    </w:p>
    <w:p>
      <w:pPr>
        <w:pStyle w:val="BodyText"/>
        <w:spacing w:line="213" w:lineRule="auto" w:before="4"/>
        <w:ind w:right="155" w:firstLine="229"/>
        <w:jc w:val="both"/>
      </w:pPr>
      <w:r>
        <w:rPr/>
        <w:pict>
          <v:shape style="position:absolute;margin-left:301.521454pt;margin-top:138.009888pt;width:74.2pt;height:11.5pt;mso-position-horizontal-relative:page;mso-position-vertical-relative:paragraph;z-index:2896" type="#_x0000_t202" filled="true" fillcolor="#fde164" stroked="false">
            <v:textbox inset="0,0,0,0">
              <w:txbxContent>
                <w:p>
                  <w:pPr>
                    <w:pStyle w:val="BodyText"/>
                    <w:spacing w:line="229" w:lineRule="exact"/>
                    <w:ind w:left="42"/>
                  </w:pPr>
                  <w:r>
                    <w:rPr>
                      <w:color w:val="231F20"/>
                    </w:rPr>
                    <w:t>the phase reversal.</w:t>
                  </w:r>
                </w:p>
              </w:txbxContent>
            </v:textbox>
            <v:fill opacity="26214f" type="solid"/>
            <w10:wrap type="none"/>
          </v:shape>
        </w:pict>
      </w:r>
      <w:r>
        <w:rPr/>
        <w:pict>
          <v:shape style="position:absolute;margin-left:301.521454pt;margin-top:114.421593pt;width:251.05pt;height:23.6pt;mso-position-horizontal-relative:page;mso-position-vertical-relative:paragraph;z-index:2920" type="#_x0000_t202" filled="true" fillcolor="#fde164" stroked="false">
            <v:textbox inset="0,0,0,0">
              <w:txbxContent>
                <w:p>
                  <w:pPr>
                    <w:pStyle w:val="BodyText"/>
                    <w:spacing w:line="213" w:lineRule="auto" w:before="7"/>
                    <w:ind w:left="42" w:right="279"/>
                  </w:pPr>
                  <w:r>
                    <w:rPr>
                      <w:color w:val="231F20"/>
                    </w:rPr>
                    <w:t>Therefore, biphasic stimulation may favorably enhance the number of excited disjoint fibers at each electrode due to</w:t>
                  </w:r>
                </w:p>
              </w:txbxContent>
            </v:textbox>
            <v:fill opacity="26214f" type="solid"/>
            <w10:wrap type="none"/>
          </v:shape>
        </w:pict>
      </w:r>
      <w:r>
        <w:rPr>
          <w:color w:val="231F20"/>
        </w:rPr>
        <w:t>Another advantage of biphasic waveform is that it may enhance the total recruitment of  fibers  excited  at  </w:t>
      </w:r>
      <w:r>
        <w:rPr>
          <w:color w:val="231F20"/>
          <w:spacing w:val="-3"/>
        </w:rPr>
        <w:t>their  </w:t>
      </w:r>
      <w:r>
        <w:rPr>
          <w:color w:val="231F20"/>
        </w:rPr>
        <w:t>terminal endings and/or bend regions (</w:t>
      </w:r>
      <w:hyperlink w:history="true" w:anchor="_bookmark83">
        <w:r>
          <w:rPr>
            <w:color w:val="6D6E71"/>
          </w:rPr>
          <w:t>Reilly and </w:t>
        </w:r>
        <w:r>
          <w:rPr>
            <w:color w:val="6D6E71"/>
            <w:spacing w:val="-3"/>
          </w:rPr>
          <w:t>Diamant</w:t>
        </w:r>
      </w:hyperlink>
      <w:r>
        <w:rPr>
          <w:color w:val="6D6E71"/>
          <w:spacing w:val="-3"/>
        </w:rPr>
        <w:t>,  </w:t>
      </w:r>
      <w:hyperlink w:history="true" w:anchor="_bookmark83">
        <w:r>
          <w:rPr>
            <w:color w:val="6D6E71"/>
          </w:rPr>
          <w:t>2011</w:t>
        </w:r>
      </w:hyperlink>
      <w:r>
        <w:rPr>
          <w:color w:val="231F20"/>
        </w:rPr>
        <w:t>; </w:t>
      </w:r>
      <w:hyperlink w:history="true" w:anchor="_bookmark48">
        <w:r>
          <w:rPr>
            <w:color w:val="6D6E71"/>
          </w:rPr>
          <w:t>Kaniusas</w:t>
        </w:r>
      </w:hyperlink>
      <w:r>
        <w:rPr>
          <w:color w:val="6D6E71"/>
        </w:rPr>
        <w:t>, </w:t>
      </w:r>
      <w:hyperlink w:history="true" w:anchor="_bookmark48">
        <w:r>
          <w:rPr>
            <w:color w:val="6D6E71"/>
          </w:rPr>
          <w:t>2019</w:t>
        </w:r>
      </w:hyperlink>
      <w:r>
        <w:rPr>
          <w:color w:val="231F20"/>
        </w:rPr>
        <w:t>) within the ear. Depending on the orientation of the bend region and/or the terminus of </w:t>
      </w:r>
      <w:r>
        <w:rPr>
          <w:color w:val="231F20"/>
          <w:spacing w:val="-4"/>
        </w:rPr>
        <w:t>the </w:t>
      </w:r>
      <w:r>
        <w:rPr>
          <w:color w:val="231F20"/>
        </w:rPr>
        <w:t>neuron, monophasic stimulation leads either to depolarization or hyperpolarization of an exposed terminus or exposed </w:t>
      </w:r>
      <w:r>
        <w:rPr>
          <w:color w:val="231F20"/>
          <w:spacing w:val="-3"/>
        </w:rPr>
        <w:t>bend </w:t>
      </w:r>
      <w:r>
        <w:rPr>
          <w:color w:val="231F20"/>
        </w:rPr>
        <w:t>region close to the electrode. In contrast, biphasic stimulation leads to depolarization of exposed termini and bend regions within a single cycle of biphasic waveform under each</w:t>
      </w:r>
      <w:r>
        <w:rPr>
          <w:color w:val="231F20"/>
          <w:spacing w:val="5"/>
        </w:rPr>
        <w:t> </w:t>
      </w:r>
      <w:r>
        <w:rPr>
          <w:color w:val="231F20"/>
        </w:rPr>
        <w:t>electrode.</w:t>
      </w:r>
    </w:p>
    <w:p>
      <w:pPr>
        <w:spacing w:after="0" w:line="213" w:lineRule="auto"/>
        <w:jc w:val="both"/>
        <w:sectPr>
          <w:type w:val="continuous"/>
          <w:pgSz w:w="11910" w:h="15600"/>
          <w:pgMar w:top="520" w:bottom="780" w:left="740" w:right="740"/>
          <w:cols w:num="2" w:equalWidth="0">
            <w:col w:w="5095" w:space="79"/>
            <w:col w:w="5256"/>
          </w:cols>
        </w:sectPr>
      </w:pPr>
    </w:p>
    <w:p>
      <w:pPr>
        <w:pStyle w:val="BodyText"/>
        <w:spacing w:line="235" w:lineRule="exact"/>
        <w:ind w:left="116"/>
        <w:rPr>
          <w:sz w:val="20"/>
        </w:rPr>
      </w:pPr>
      <w:r>
        <w:rPr>
          <w:position w:val="-4"/>
          <w:sz w:val="20"/>
        </w:rPr>
        <w:pict>
          <v:shape style="width:251.05pt;height:11.8pt;mso-position-horizontal-relative:char;mso-position-vertical-relative:line" type="#_x0000_t202" filled="true" fillcolor="#fde164" stroked="false">
            <w10:anchorlock/>
            <v:textbox inset="0,0,0,0">
              <w:txbxContent>
                <w:p>
                  <w:pPr>
                    <w:pStyle w:val="BodyText"/>
                    <w:spacing w:line="236" w:lineRule="exact"/>
                    <w:ind w:left="42"/>
                  </w:pPr>
                  <w:r>
                    <w:rPr>
                      <w:color w:val="231F20"/>
                    </w:rPr>
                    <w:t>phases of the stimulus should be as short as possible to recruit</w:t>
                  </w:r>
                </w:p>
              </w:txbxContent>
            </v:textbox>
            <v:fill opacity="26214f" type="solid"/>
          </v:shape>
        </w:pict>
      </w:r>
      <w:r>
        <w:rPr>
          <w:position w:val="-4"/>
          <w:sz w:val="20"/>
        </w:rPr>
      </w:r>
    </w:p>
    <w:p>
      <w:pPr>
        <w:pStyle w:val="BodyText"/>
        <w:ind w:left="0"/>
        <w:rPr>
          <w:sz w:val="2"/>
        </w:rPr>
      </w:pPr>
    </w:p>
    <w:p>
      <w:pPr>
        <w:pStyle w:val="BodyText"/>
        <w:spacing w:line="198" w:lineRule="exact"/>
        <w:ind w:left="2103"/>
      </w:pPr>
      <w:r>
        <w:rPr>
          <w:position w:val="-3"/>
        </w:rPr>
        <w:pict>
          <v:shape style="width:151.7pt;height:9.950pt;mso-position-horizontal-relative:char;mso-position-vertical-relative:line" type="#_x0000_t202" filled="false" stroked="false">
            <w10:anchorlock/>
            <v:textbox inset="0,0,0,0">
              <w:txbxContent>
                <w:p>
                  <w:pPr>
                    <w:pStyle w:val="BodyText"/>
                    <w:spacing w:line="198" w:lineRule="exact"/>
                    <w:ind w:left="-64"/>
                  </w:pPr>
                  <w:r>
                    <w:rPr>
                      <w:rFonts w:ascii="Arial Black" w:hAnsi="Arial Black"/>
                      <w:color w:val="231F20"/>
                    </w:rPr>
                    <w:t>β </w:t>
                  </w:r>
                  <w:r>
                    <w:rPr>
                      <w:color w:val="231F20"/>
                    </w:rPr>
                    <w:t>fibers but not hardly excitable thin</w:t>
                  </w:r>
                </w:p>
              </w:txbxContent>
            </v:textbox>
          </v:shape>
        </w:pict>
      </w:r>
      <w:r>
        <w:rPr>
          <w:position w:val="-3"/>
        </w:rPr>
      </w:r>
    </w:p>
    <w:p>
      <w:pPr>
        <w:spacing w:after="0" w:line="198" w:lineRule="exact"/>
        <w:sectPr>
          <w:type w:val="continuous"/>
          <w:pgSz w:w="11910" w:h="15600"/>
          <w:pgMar w:top="520" w:bottom="780" w:left="740" w:right="740"/>
        </w:sectPr>
      </w:pPr>
    </w:p>
    <w:p>
      <w:pPr>
        <w:pStyle w:val="BodyText"/>
        <w:spacing w:line="216" w:lineRule="exact"/>
      </w:pPr>
      <w:r>
        <w:rPr/>
        <w:pict>
          <v:group style="position:absolute;margin-left:42.835449pt;margin-top:-12.126581pt;width:251.05pt;height:23.6pt;mso-position-horizontal-relative:page;mso-position-vertical-relative:paragraph;z-index:-40672" coordorigin="857,-243" coordsize="5021,472">
            <v:shape style="position:absolute;left:1000;top:31;width:144;height:171" coordorigin="1001,31" coordsize="144,171" path="m1114,31l1031,31,1008,69,1001,116,1008,163,1031,201,1114,201,1136,163,1144,116,1136,69,1114,31xe" filled="true" fillcolor="#fde164" stroked="false">
              <v:path arrowok="t"/>
              <v:fill opacity="26214f" type="solid"/>
            </v:shape>
            <v:shape style="position:absolute;left:856;top:-14;width:805;height:243" coordorigin="857,-13" coordsize="805,243" path="m1618,-13l900,-13,867,41,857,108,867,175,900,229,1618,229,1650,175,1661,108,1650,41,1618,-13xe" filled="true" fillcolor="#fde164" stroked="false">
              <v:path arrowok="t"/>
              <v:fill opacity="26214f" type="solid"/>
            </v:shape>
            <v:shape style="position:absolute;left:2750;top:-199;width:158;height:171" coordorigin="2750,-198" coordsize="158,171" path="m2877,-198l2780,-198,2758,-160,2750,-113,2758,-66,2780,-28,2877,-28,2900,-66,2907,-113,2900,-160,2877,-198xe" filled="true" fillcolor="#fde164" stroked="false">
              <v:path arrowok="t"/>
              <v:fill opacity="26214f" type="solid"/>
            </v:shape>
            <v:shape style="position:absolute;left:856;top:-243;width:5021;height:243" coordorigin="857,-243" coordsize="5021,243" path="m2823,-121l2812,-189,2780,-243,900,-243,867,-189,857,-121,867,-54,900,0,2780,0,2812,-54,2823,-121m5877,-121l5866,-189,5834,-243,2970,-243,2937,-189,2927,-121,2937,-54,2970,0,5834,0,5866,-54,5877,-121e" filled="true" fillcolor="#fde164" stroked="false">
              <v:path arrowok="t"/>
              <v:fill opacity="26214f" type="solid"/>
            </v:shape>
            <w10:wrap type="none"/>
          </v:group>
        </w:pict>
      </w:r>
      <w:r>
        <w:rPr/>
        <w:pict>
          <v:shape style="position:absolute;margin-left:42.835449pt;margin-top:-9.903681pt;width:99.35pt;height:9.950pt;mso-position-horizontal-relative:page;mso-position-vertical-relative:paragraph;z-index:3016" type="#_x0000_t202" filled="false" stroked="false">
            <v:textbox inset="0,0,0,0">
              <w:txbxContent>
                <w:p>
                  <w:pPr>
                    <w:pStyle w:val="BodyText"/>
                    <w:spacing w:line="198" w:lineRule="exact"/>
                    <w:ind w:left="42"/>
                  </w:pPr>
                  <w:r>
                    <w:rPr>
                      <w:color w:val="231F20"/>
                    </w:rPr>
                    <w:t>easily excitable thick A</w:t>
                  </w:r>
                </w:p>
              </w:txbxContent>
            </v:textbox>
            <w10:wrap type="none"/>
          </v:shape>
        </w:pict>
      </w:r>
      <w:r>
        <w:rPr>
          <w:color w:val="231F20"/>
        </w:rPr>
        <w:t>A</w:t>
      </w:r>
      <w:r>
        <w:rPr>
          <w:rFonts w:ascii="Arial Black" w:hAnsi="Arial Black"/>
          <w:color w:val="231F20"/>
        </w:rPr>
        <w:t>δ </w:t>
      </w:r>
      <w:r>
        <w:rPr>
          <w:color w:val="231F20"/>
        </w:rPr>
        <w:t>fibers.</w:t>
      </w:r>
    </w:p>
    <w:p>
      <w:pPr>
        <w:pStyle w:val="BodyText"/>
        <w:spacing w:line="213" w:lineRule="auto" w:before="7"/>
        <w:ind w:firstLine="229"/>
        <w:jc w:val="both"/>
      </w:pPr>
      <w:r>
        <w:rPr>
          <w:color w:val="231F20"/>
        </w:rPr>
        <w:t>Cathodic stimulation requires lower thresholds than </w:t>
      </w:r>
      <w:r>
        <w:rPr>
          <w:color w:val="231F20"/>
          <w:spacing w:val="-3"/>
        </w:rPr>
        <w:t>anodic </w:t>
      </w:r>
      <w:r>
        <w:rPr>
          <w:color w:val="231F20"/>
        </w:rPr>
        <w:t>stimulation given straight geometries of axons residing in </w:t>
      </w:r>
      <w:r>
        <w:rPr>
          <w:color w:val="231F20"/>
          <w:spacing w:val="-16"/>
        </w:rPr>
        <w:t>a </w:t>
      </w:r>
      <w:r>
        <w:rPr>
          <w:color w:val="231F20"/>
        </w:rPr>
        <w:t>certain distance from the stimulation electrode. </w:t>
      </w:r>
      <w:r>
        <w:rPr>
          <w:color w:val="231F20"/>
          <w:spacing w:val="-3"/>
        </w:rPr>
        <w:t>Monophasic </w:t>
      </w:r>
      <w:r>
        <w:rPr>
          <w:color w:val="231F20"/>
        </w:rPr>
        <w:t>pulses excite more easily than biphasic pulses, especially for short pulse durations </w:t>
      </w:r>
      <w:r>
        <w:rPr>
          <w:rFonts w:ascii="Verdana Pro Light"/>
          <w:b w:val="0"/>
          <w:i/>
          <w:color w:val="231F20"/>
        </w:rPr>
        <w:t>&lt;</w:t>
      </w:r>
      <w:r>
        <w:rPr>
          <w:color w:val="231F20"/>
        </w:rPr>
        <w:t>1 ms (</w:t>
      </w:r>
      <w:hyperlink w:history="true" w:anchor="_bookmark48">
        <w:r>
          <w:rPr>
            <w:color w:val="6D6E71"/>
          </w:rPr>
          <w:t>Kaniusas</w:t>
        </w:r>
      </w:hyperlink>
      <w:r>
        <w:rPr>
          <w:color w:val="6D6E71"/>
        </w:rPr>
        <w:t>, </w:t>
      </w:r>
      <w:hyperlink w:history="true" w:anchor="_bookmark48">
        <w:r>
          <w:rPr>
            <w:color w:val="6D6E71"/>
          </w:rPr>
          <w:t>2019</w:t>
        </w:r>
      </w:hyperlink>
      <w:r>
        <w:rPr>
          <w:color w:val="231F20"/>
        </w:rPr>
        <w:t>). </w:t>
      </w:r>
      <w:r>
        <w:rPr>
          <w:color w:val="231F20"/>
          <w:spacing w:val="-3"/>
        </w:rPr>
        <w:t>Therefore, </w:t>
      </w:r>
      <w:r>
        <w:rPr>
          <w:color w:val="231F20"/>
        </w:rPr>
        <w:t>cathodic monophasic thresholds are the lowest when individual nerve fibers are considered. However, if we are interested</w:t>
      </w:r>
      <w:r>
        <w:rPr>
          <w:color w:val="231F20"/>
          <w:spacing w:val="38"/>
        </w:rPr>
        <w:t> </w:t>
      </w:r>
      <w:r>
        <w:rPr>
          <w:color w:val="231F20"/>
          <w:spacing w:val="-7"/>
        </w:rPr>
        <w:t>in</w:t>
      </w:r>
    </w:p>
    <w:p>
      <w:pPr>
        <w:pStyle w:val="BodyText"/>
        <w:ind w:left="0"/>
        <w:rPr>
          <w:sz w:val="16"/>
        </w:rPr>
      </w:pPr>
      <w:r>
        <w:rPr/>
        <w:br w:type="column"/>
      </w:r>
      <w:r>
        <w:rPr>
          <w:sz w:val="16"/>
        </w:rPr>
      </w:r>
    </w:p>
    <w:p>
      <w:pPr>
        <w:pStyle w:val="BodyText"/>
        <w:spacing w:line="213" w:lineRule="auto" w:before="1"/>
        <w:ind w:right="155" w:firstLine="229"/>
        <w:jc w:val="both"/>
      </w:pPr>
      <w:hyperlink w:history="true" w:anchor="_bookmark4">
        <w:r>
          <w:rPr>
            <w:b/>
            <w:color w:val="231F20"/>
          </w:rPr>
          <w:t>Figure 4</w:t>
        </w:r>
      </w:hyperlink>
      <w:r>
        <w:rPr>
          <w:b/>
          <w:color w:val="231F20"/>
        </w:rPr>
        <w:t> </w:t>
      </w:r>
      <w:r>
        <w:rPr>
          <w:color w:val="231F20"/>
        </w:rPr>
        <w:t>shows </w:t>
      </w:r>
      <w:r>
        <w:rPr>
          <w:i/>
          <w:color w:val="231F20"/>
        </w:rPr>
        <w:t>in silico </w:t>
      </w:r>
      <w:r>
        <w:rPr>
          <w:color w:val="231F20"/>
        </w:rPr>
        <w:t>data of aVNS based on tripolar stimulation which has been shown to provide a more </w:t>
      </w:r>
      <w:r>
        <w:rPr>
          <w:color w:val="231F20"/>
          <w:spacing w:val="-3"/>
        </w:rPr>
        <w:t>focussed, </w:t>
      </w:r>
      <w:r>
        <w:rPr>
          <w:color w:val="231F20"/>
        </w:rPr>
        <w:t>spatially</w:t>
      </w:r>
      <w:r>
        <w:rPr>
          <w:color w:val="231F20"/>
          <w:spacing w:val="-8"/>
        </w:rPr>
        <w:t> </w:t>
      </w:r>
      <w:r>
        <w:rPr>
          <w:color w:val="231F20"/>
        </w:rPr>
        <w:t>selective</w:t>
      </w:r>
      <w:r>
        <w:rPr>
          <w:color w:val="231F20"/>
          <w:spacing w:val="-7"/>
        </w:rPr>
        <w:t> </w:t>
      </w:r>
      <w:r>
        <w:rPr>
          <w:color w:val="231F20"/>
        </w:rPr>
        <w:t>stimulation</w:t>
      </w:r>
      <w:r>
        <w:rPr>
          <w:color w:val="231F20"/>
          <w:spacing w:val="-7"/>
        </w:rPr>
        <w:t> </w:t>
      </w:r>
      <w:r>
        <w:rPr>
          <w:color w:val="231F20"/>
        </w:rPr>
        <w:t>of</w:t>
      </w:r>
      <w:r>
        <w:rPr>
          <w:color w:val="231F20"/>
          <w:spacing w:val="-7"/>
        </w:rPr>
        <w:t> </w:t>
      </w:r>
      <w:r>
        <w:rPr>
          <w:color w:val="231F20"/>
        </w:rPr>
        <w:t>fibers</w:t>
      </w:r>
      <w:r>
        <w:rPr>
          <w:color w:val="231F20"/>
          <w:spacing w:val="-7"/>
        </w:rPr>
        <w:t> </w:t>
      </w:r>
      <w:r>
        <w:rPr>
          <w:color w:val="231F20"/>
        </w:rPr>
        <w:t>than</w:t>
      </w:r>
      <w:r>
        <w:rPr>
          <w:color w:val="231F20"/>
          <w:spacing w:val="-7"/>
        </w:rPr>
        <w:t> </w:t>
      </w:r>
      <w:r>
        <w:rPr>
          <w:color w:val="231F20"/>
        </w:rPr>
        <w:t>bipolar</w:t>
      </w:r>
      <w:r>
        <w:rPr>
          <w:color w:val="231F20"/>
          <w:spacing w:val="-8"/>
        </w:rPr>
        <w:t> </w:t>
      </w:r>
      <w:r>
        <w:rPr>
          <w:color w:val="231F20"/>
        </w:rPr>
        <w:t>or</w:t>
      </w:r>
      <w:r>
        <w:rPr>
          <w:color w:val="231F20"/>
          <w:spacing w:val="-7"/>
        </w:rPr>
        <w:t> </w:t>
      </w:r>
      <w:r>
        <w:rPr>
          <w:color w:val="231F20"/>
        </w:rPr>
        <w:t>monopolar stimulation (</w:t>
      </w:r>
      <w:hyperlink w:history="true" w:anchor="_bookmark48">
        <w:r>
          <w:rPr>
            <w:color w:val="6D6E71"/>
          </w:rPr>
          <w:t>Kaniusas</w:t>
        </w:r>
      </w:hyperlink>
      <w:r>
        <w:rPr>
          <w:color w:val="6D6E71"/>
        </w:rPr>
        <w:t>, </w:t>
      </w:r>
      <w:hyperlink w:history="true" w:anchor="_bookmark48">
        <w:r>
          <w:rPr>
            <w:color w:val="6D6E71"/>
          </w:rPr>
          <w:t>2019</w:t>
        </w:r>
      </w:hyperlink>
      <w:r>
        <w:rPr>
          <w:color w:val="231F20"/>
        </w:rPr>
        <w:t>). </w:t>
      </w:r>
      <w:hyperlink w:history="true" w:anchor="_bookmark4">
        <w:r>
          <w:rPr>
            <w:b/>
            <w:color w:val="231F20"/>
          </w:rPr>
          <w:t>Figure 4A</w:t>
        </w:r>
      </w:hyperlink>
      <w:r>
        <w:rPr>
          <w:b/>
          <w:color w:val="231F20"/>
        </w:rPr>
        <w:t> </w:t>
      </w:r>
      <w:r>
        <w:rPr>
          <w:color w:val="231F20"/>
        </w:rPr>
        <w:t>illustrates increasing sharpness  of  the  spatial  stimulation  area  (in  the  range  of     1 mm) with decreasing separation distance between the three stimulation electrodes based on the concept of the</w:t>
      </w:r>
      <w:r>
        <w:rPr>
          <w:color w:val="231F20"/>
          <w:spacing w:val="24"/>
        </w:rPr>
        <w:t> </w:t>
      </w:r>
      <w:r>
        <w:rPr>
          <w:color w:val="231F20"/>
        </w:rPr>
        <w:t>activating</w:t>
      </w:r>
    </w:p>
    <w:p>
      <w:pPr>
        <w:spacing w:after="0" w:line="213" w:lineRule="auto"/>
        <w:jc w:val="both"/>
        <w:sectPr>
          <w:type w:val="continuous"/>
          <w:pgSz w:w="11910" w:h="15600"/>
          <w:pgMar w:top="520" w:bottom="780" w:left="740" w:right="740"/>
          <w:cols w:num="2" w:equalWidth="0">
            <w:col w:w="5095" w:space="79"/>
            <w:col w:w="5256"/>
          </w:cols>
        </w:sectPr>
      </w:pPr>
    </w:p>
    <w:p>
      <w:pPr>
        <w:pStyle w:val="BodyText"/>
        <w:spacing w:before="7"/>
        <w:ind w:left="0"/>
      </w:pPr>
    </w:p>
    <w:p>
      <w:pPr>
        <w:spacing w:after="0"/>
        <w:sectPr>
          <w:pgSz w:w="11910" w:h="15600"/>
          <w:pgMar w:header="560" w:footer="588" w:top="840" w:bottom="780" w:left="740" w:right="740"/>
        </w:sectPr>
      </w:pPr>
    </w:p>
    <w:p>
      <w:pPr>
        <w:pStyle w:val="BodyText"/>
        <w:spacing w:line="213" w:lineRule="auto" w:before="107"/>
        <w:jc w:val="both"/>
      </w:pPr>
      <w:r>
        <w:rPr>
          <w:color w:val="231F20"/>
        </w:rPr>
        <w:t>function.</w:t>
      </w:r>
      <w:r>
        <w:rPr>
          <w:color w:val="231F20"/>
          <w:spacing w:val="-12"/>
        </w:rPr>
        <w:t> </w:t>
      </w:r>
      <w:r>
        <w:rPr>
          <w:color w:val="231F20"/>
        </w:rPr>
        <w:t>However,</w:t>
      </w:r>
      <w:r>
        <w:rPr>
          <w:color w:val="231F20"/>
          <w:spacing w:val="-12"/>
        </w:rPr>
        <w:t> </w:t>
      </w:r>
      <w:r>
        <w:rPr>
          <w:color w:val="231F20"/>
        </w:rPr>
        <w:t>the</w:t>
      </w:r>
      <w:r>
        <w:rPr>
          <w:color w:val="231F20"/>
          <w:spacing w:val="-12"/>
        </w:rPr>
        <w:t> </w:t>
      </w:r>
      <w:r>
        <w:rPr>
          <w:color w:val="231F20"/>
        </w:rPr>
        <w:t>improved</w:t>
      </w:r>
      <w:r>
        <w:rPr>
          <w:color w:val="231F20"/>
          <w:spacing w:val="-12"/>
        </w:rPr>
        <w:t> </w:t>
      </w:r>
      <w:r>
        <w:rPr>
          <w:color w:val="231F20"/>
        </w:rPr>
        <w:t>focus</w:t>
      </w:r>
      <w:r>
        <w:rPr>
          <w:color w:val="231F20"/>
          <w:spacing w:val="-11"/>
        </w:rPr>
        <w:t> </w:t>
      </w:r>
      <w:r>
        <w:rPr>
          <w:color w:val="231F20"/>
        </w:rPr>
        <w:t>in</w:t>
      </w:r>
      <w:r>
        <w:rPr>
          <w:color w:val="231F20"/>
          <w:spacing w:val="-12"/>
        </w:rPr>
        <w:t> </w:t>
      </w:r>
      <w:r>
        <w:rPr>
          <w:color w:val="231F20"/>
        </w:rPr>
        <w:t>the</w:t>
      </w:r>
      <w:r>
        <w:rPr>
          <w:color w:val="231F20"/>
          <w:spacing w:val="-12"/>
        </w:rPr>
        <w:t> </w:t>
      </w:r>
      <w:r>
        <w:rPr>
          <w:color w:val="231F20"/>
        </w:rPr>
        <w:t>tripolar</w:t>
      </w:r>
      <w:r>
        <w:rPr>
          <w:color w:val="231F20"/>
          <w:spacing w:val="-12"/>
        </w:rPr>
        <w:t> </w:t>
      </w:r>
      <w:r>
        <w:rPr>
          <w:color w:val="231F20"/>
        </w:rPr>
        <w:t>stimulation arrives at the cost of a reduced stimulation efficiency and </w:t>
      </w:r>
      <w:r>
        <w:rPr>
          <w:color w:val="231F20"/>
          <w:spacing w:val="-4"/>
        </w:rPr>
        <w:t>thus </w:t>
      </w:r>
      <w:r>
        <w:rPr>
          <w:color w:val="231F20"/>
        </w:rPr>
        <w:t>increased</w:t>
      </w:r>
      <w:r>
        <w:rPr>
          <w:color w:val="231F20"/>
          <w:spacing w:val="-5"/>
        </w:rPr>
        <w:t> </w:t>
      </w:r>
      <w:r>
        <w:rPr>
          <w:color w:val="231F20"/>
        </w:rPr>
        <w:t>stimulation</w:t>
      </w:r>
      <w:r>
        <w:rPr>
          <w:color w:val="231F20"/>
          <w:spacing w:val="-6"/>
        </w:rPr>
        <w:t> </w:t>
      </w:r>
      <w:r>
        <w:rPr>
          <w:color w:val="231F20"/>
        </w:rPr>
        <w:t>threshold</w:t>
      </w:r>
      <w:r>
        <w:rPr>
          <w:color w:val="231F20"/>
          <w:spacing w:val="-5"/>
        </w:rPr>
        <w:t> </w:t>
      </w:r>
      <w:r>
        <w:rPr>
          <w:color w:val="231F20"/>
        </w:rPr>
        <w:t>(</w:t>
      </w:r>
      <w:hyperlink w:history="true" w:anchor="_bookmark4">
        <w:r>
          <w:rPr>
            <w:b/>
            <w:color w:val="231F20"/>
          </w:rPr>
          <w:t>Figure</w:t>
        </w:r>
        <w:r>
          <w:rPr>
            <w:b/>
            <w:color w:val="231F20"/>
            <w:spacing w:val="-4"/>
          </w:rPr>
          <w:t> </w:t>
        </w:r>
        <w:r>
          <w:rPr>
            <w:b/>
            <w:color w:val="231F20"/>
          </w:rPr>
          <w:t>4A</w:t>
        </w:r>
      </w:hyperlink>
      <w:r>
        <w:rPr>
          <w:color w:val="231F20"/>
        </w:rPr>
        <w:t>).</w:t>
      </w:r>
      <w:r>
        <w:rPr>
          <w:color w:val="231F20"/>
          <w:spacing w:val="-5"/>
        </w:rPr>
        <w:t> </w:t>
      </w:r>
      <w:r>
        <w:rPr>
          <w:color w:val="231F20"/>
        </w:rPr>
        <w:t>This</w:t>
      </w:r>
      <w:r>
        <w:rPr>
          <w:color w:val="231F20"/>
          <w:spacing w:val="-6"/>
        </w:rPr>
        <w:t> </w:t>
      </w:r>
      <w:r>
        <w:rPr>
          <w:color w:val="231F20"/>
        </w:rPr>
        <w:t>compromise</w:t>
      </w:r>
      <w:r>
        <w:rPr>
          <w:color w:val="231F20"/>
          <w:spacing w:val="-5"/>
        </w:rPr>
        <w:t> </w:t>
      </w:r>
      <w:r>
        <w:rPr>
          <w:color w:val="231F20"/>
          <w:spacing w:val="-7"/>
        </w:rPr>
        <w:t>is </w:t>
      </w:r>
      <w:r>
        <w:rPr>
          <w:color w:val="231F20"/>
        </w:rPr>
        <w:t>also valid for bipolar stimulation. </w:t>
      </w:r>
      <w:hyperlink w:history="true" w:anchor="_bookmark4">
        <w:r>
          <w:rPr>
            <w:b/>
            <w:color w:val="231F20"/>
          </w:rPr>
          <w:t>Figure 4B </w:t>
        </w:r>
      </w:hyperlink>
      <w:r>
        <w:rPr>
          <w:color w:val="231F20"/>
        </w:rPr>
        <w:t>illustrates</w:t>
      </w:r>
      <w:r>
        <w:rPr>
          <w:color w:val="231F20"/>
          <w:spacing w:val="-29"/>
        </w:rPr>
        <w:t> </w:t>
      </w:r>
      <w:r>
        <w:rPr>
          <w:color w:val="231F20"/>
          <w:spacing w:val="-3"/>
        </w:rPr>
        <w:t>maximum </w:t>
      </w:r>
      <w:r>
        <w:rPr>
          <w:color w:val="231F20"/>
        </w:rPr>
        <w:t>values of the local electric field and of its gradient close to the needle electrodes due to the electrical point effect </w:t>
      </w:r>
      <w:r>
        <w:rPr>
          <w:color w:val="231F20"/>
          <w:spacing w:val="-3"/>
        </w:rPr>
        <w:t>(</w:t>
      </w:r>
      <w:hyperlink w:history="true" w:anchor="_bookmark48">
        <w:r>
          <w:rPr>
            <w:color w:val="6D6E71"/>
            <w:spacing w:val="-3"/>
          </w:rPr>
          <w:t>Kaniusas</w:t>
        </w:r>
      </w:hyperlink>
      <w:r>
        <w:rPr>
          <w:color w:val="6D6E71"/>
          <w:spacing w:val="-3"/>
        </w:rPr>
        <w:t>, </w:t>
      </w:r>
      <w:hyperlink w:history="true" w:anchor="_bookmark48">
        <w:r>
          <w:rPr>
            <w:color w:val="6D6E71"/>
          </w:rPr>
          <w:t>2019</w:t>
        </w:r>
      </w:hyperlink>
      <w:r>
        <w:rPr>
          <w:color w:val="231F20"/>
        </w:rPr>
        <w:t>). The vector field flows in the direction from positive </w:t>
      </w:r>
      <w:r>
        <w:rPr>
          <w:color w:val="231F20"/>
          <w:spacing w:val="-3"/>
        </w:rPr>
        <w:t>anode </w:t>
      </w:r>
      <w:r>
        <w:rPr>
          <w:color w:val="231F20"/>
        </w:rPr>
        <w:t>(red electrode) to negative cathode (blue electrode) within </w:t>
      </w:r>
      <w:r>
        <w:rPr>
          <w:color w:val="231F20"/>
          <w:spacing w:val="-6"/>
        </w:rPr>
        <w:t>the </w:t>
      </w:r>
      <w:r>
        <w:rPr>
          <w:color w:val="231F20"/>
        </w:rPr>
        <w:t>outer </w:t>
      </w:r>
      <w:r>
        <w:rPr>
          <w:color w:val="231F20"/>
          <w:spacing w:val="-4"/>
        </w:rPr>
        <w:t>ear, </w:t>
      </w:r>
      <w:r>
        <w:rPr>
          <w:color w:val="231F20"/>
        </w:rPr>
        <w:t>whereas local electric fields decrease along conducting blood vessels within the ear. While the resulting gradient of the local electric field along straight axons determines their </w:t>
      </w:r>
      <w:r>
        <w:rPr>
          <w:color w:val="231F20"/>
          <w:spacing w:val="-3"/>
        </w:rPr>
        <w:t>local </w:t>
      </w:r>
      <w:r>
        <w:rPr>
          <w:color w:val="231F20"/>
        </w:rPr>
        <w:t>excitation, a constant electric field is sufficient  to  depolarize and potentially excite terminal endings and/or bend regions </w:t>
      </w:r>
      <w:r>
        <w:rPr>
          <w:color w:val="231F20"/>
          <w:spacing w:val="-9"/>
        </w:rPr>
        <w:t>of </w:t>
      </w:r>
      <w:r>
        <w:rPr>
          <w:color w:val="231F20"/>
        </w:rPr>
        <w:t>auricular axons.</w:t>
      </w:r>
    </w:p>
    <w:p>
      <w:pPr>
        <w:pStyle w:val="BodyText"/>
        <w:spacing w:line="213" w:lineRule="auto" w:before="3"/>
        <w:ind w:firstLine="229"/>
        <w:jc w:val="both"/>
      </w:pPr>
      <w:r>
        <w:rPr>
          <w:color w:val="231F20"/>
        </w:rPr>
        <w:t>The design of electroceuticals such as aVNS devices can be assisted by computational models, i.e., functionalized</w:t>
      </w:r>
      <w:r>
        <w:rPr>
          <w:color w:val="231F20"/>
          <w:spacing w:val="-20"/>
        </w:rPr>
        <w:t> </w:t>
      </w:r>
      <w:r>
        <w:rPr>
          <w:color w:val="231F20"/>
        </w:rPr>
        <w:t>anatomical models subjected to the  discussed  coupled  electromagnetic  and electrophysiological modeling. These neuro-functionalized models feature realistic nerve trajectories within detailed anatomical phantoms (</w:t>
      </w:r>
      <w:hyperlink w:history="true" w:anchor="_bookmark69">
        <w:r>
          <w:rPr>
            <w:color w:val="6D6E71"/>
          </w:rPr>
          <w:t>Neufeld et al.</w:t>
        </w:r>
      </w:hyperlink>
      <w:r>
        <w:rPr>
          <w:color w:val="6D6E71"/>
        </w:rPr>
        <w:t>, </w:t>
      </w:r>
      <w:hyperlink w:history="true" w:anchor="_bookmark69">
        <w:r>
          <w:rPr>
            <w:color w:val="6D6E71"/>
          </w:rPr>
          <w:t>2016</w:t>
        </w:r>
      </w:hyperlink>
      <w:r>
        <w:rPr>
          <w:color w:val="231F20"/>
        </w:rPr>
        <w:t>). Models  </w:t>
      </w:r>
      <w:r>
        <w:rPr>
          <w:color w:val="231F20"/>
          <w:spacing w:val="-2"/>
        </w:rPr>
        <w:t>facilitate </w:t>
      </w:r>
      <w:r>
        <w:rPr>
          <w:color w:val="231F20"/>
        </w:rPr>
        <w:t>the exploration and optimisation of various stimulation </w:t>
      </w:r>
      <w:r>
        <w:rPr>
          <w:color w:val="231F20"/>
          <w:spacing w:val="-3"/>
        </w:rPr>
        <w:t>settings </w:t>
      </w:r>
      <w:r>
        <w:rPr>
          <w:color w:val="231F20"/>
        </w:rPr>
        <w:t>(e.g., electrode number, shape, and position, as well </w:t>
      </w:r>
      <w:r>
        <w:rPr>
          <w:color w:val="231F20"/>
          <w:spacing w:val="-10"/>
        </w:rPr>
        <w:t>as </w:t>
      </w:r>
      <w:r>
        <w:rPr>
          <w:color w:val="231F20"/>
        </w:rPr>
        <w:t>stimulation waveforms) for an efficient recruitment of </w:t>
      </w:r>
      <w:r>
        <w:rPr>
          <w:color w:val="231F20"/>
          <w:spacing w:val="-3"/>
        </w:rPr>
        <w:t>nerves </w:t>
      </w:r>
      <w:r>
        <w:rPr>
          <w:color w:val="231F20"/>
        </w:rPr>
        <w:t>while considering the complex heterogeneity of human </w:t>
      </w:r>
      <w:r>
        <w:rPr>
          <w:color w:val="231F20"/>
          <w:spacing w:val="-4"/>
        </w:rPr>
        <w:t>tissues </w:t>
      </w:r>
      <w:r>
        <w:rPr>
          <w:color w:val="231F20"/>
        </w:rPr>
        <w:t>and specific anatomy; here extensive sensitivity analyses </w:t>
      </w:r>
      <w:r>
        <w:rPr>
          <w:color w:val="231F20"/>
          <w:spacing w:val="-8"/>
        </w:rPr>
        <w:t>to </w:t>
      </w:r>
      <w:r>
        <w:rPr>
          <w:color w:val="231F20"/>
        </w:rPr>
        <w:t>settings changes can be realized. Such models have  the  potential to minimize the cost,  time  efforts,  and  the</w:t>
      </w:r>
      <w:r>
        <w:rPr>
          <w:color w:val="231F20"/>
          <w:spacing w:val="18"/>
        </w:rPr>
        <w:t> </w:t>
      </w:r>
      <w:r>
        <w:rPr>
          <w:color w:val="231F20"/>
        </w:rPr>
        <w:t>number of involved humans and animals in clinical and </w:t>
      </w:r>
      <w:r>
        <w:rPr>
          <w:color w:val="231F20"/>
          <w:spacing w:val="-2"/>
        </w:rPr>
        <w:t>experimental </w:t>
      </w:r>
      <w:r>
        <w:rPr>
          <w:color w:val="231F20"/>
        </w:rPr>
        <w:t>trials, respectively, whereas safety and efficacy of electroceuticals is increased. Furthermore, functionalized phantoms can </w:t>
      </w:r>
      <w:r>
        <w:rPr>
          <w:color w:val="231F20"/>
          <w:spacing w:val="-7"/>
        </w:rPr>
        <w:t>be </w:t>
      </w:r>
      <w:r>
        <w:rPr>
          <w:color w:val="231F20"/>
        </w:rPr>
        <w:t>personalized to arrive at planning and optimization of </w:t>
      </w:r>
      <w:r>
        <w:rPr>
          <w:color w:val="231F20"/>
          <w:spacing w:val="-3"/>
        </w:rPr>
        <w:t>highly </w:t>
      </w:r>
      <w:r>
        <w:rPr>
          <w:color w:val="231F20"/>
        </w:rPr>
        <w:t>patient-specific treatment. For instance, such computational models can be generated with the Sim4Life platform (</w:t>
      </w:r>
      <w:hyperlink w:history="true" w:anchor="_bookmark70">
        <w:r>
          <w:rPr>
            <w:color w:val="6D6E71"/>
          </w:rPr>
          <w:t>Neufeld</w:t>
        </w:r>
      </w:hyperlink>
      <w:r>
        <w:rPr>
          <w:color w:val="6D6E71"/>
        </w:rPr>
        <w:t>   </w:t>
      </w:r>
      <w:hyperlink w:history="true" w:anchor="_bookmark70">
        <w:r>
          <w:rPr>
            <w:color w:val="6D6E71"/>
          </w:rPr>
          <w:t>et al.</w:t>
        </w:r>
      </w:hyperlink>
      <w:r>
        <w:rPr>
          <w:color w:val="6D6E71"/>
        </w:rPr>
        <w:t>, </w:t>
      </w:r>
      <w:hyperlink w:history="true" w:anchor="_bookmark70">
        <w:r>
          <w:rPr>
            <w:color w:val="6D6E71"/>
          </w:rPr>
          <w:t>2014</w:t>
        </w:r>
      </w:hyperlink>
      <w:r>
        <w:rPr>
          <w:color w:val="231F20"/>
        </w:rPr>
        <w:t>) for life sciences investigations from Zurich </w:t>
      </w:r>
      <w:r>
        <w:rPr>
          <w:color w:val="231F20"/>
          <w:spacing w:val="-3"/>
        </w:rPr>
        <w:t>MedTech </w:t>
      </w:r>
      <w:r>
        <w:rPr>
          <w:color w:val="231F20"/>
        </w:rPr>
        <w:t>AG (Zurich,</w:t>
      </w:r>
      <w:r>
        <w:rPr>
          <w:color w:val="231F20"/>
          <w:spacing w:val="-1"/>
        </w:rPr>
        <w:t> </w:t>
      </w:r>
      <w:r>
        <w:rPr>
          <w:color w:val="231F20"/>
        </w:rPr>
        <w:t>Switzerland).</w:t>
      </w:r>
    </w:p>
    <w:p>
      <w:pPr>
        <w:pStyle w:val="BodyText"/>
        <w:spacing w:before="12"/>
        <w:ind w:left="0"/>
        <w:rPr>
          <w:sz w:val="33"/>
        </w:rPr>
      </w:pPr>
    </w:p>
    <w:p>
      <w:pPr>
        <w:pStyle w:val="Heading1"/>
      </w:pPr>
      <w:bookmarkStart w:name="Personalized aVns" w:id="15"/>
      <w:bookmarkEnd w:id="15"/>
      <w:r>
        <w:rPr/>
      </w:r>
      <w:r>
        <w:rPr>
          <w:color w:val="231F20"/>
        </w:rPr>
        <w:t>PERSONALIZED aVNS</w:t>
      </w:r>
    </w:p>
    <w:p>
      <w:pPr>
        <w:pStyle w:val="BodyText"/>
        <w:spacing w:line="213" w:lineRule="auto" w:before="205"/>
        <w:jc w:val="both"/>
      </w:pPr>
      <w:r>
        <w:rPr>
          <w:color w:val="231F20"/>
        </w:rPr>
        <w:t>Straightforward open-loop aVNS without any dynamic adjustment  of  stimulation  parameters   may   be   sufficient   for  treatment  when  the  targeted  neuromodulatory  </w:t>
      </w:r>
      <w:r>
        <w:rPr>
          <w:color w:val="231F20"/>
          <w:spacing w:val="-3"/>
        </w:rPr>
        <w:t>effects  </w:t>
      </w:r>
      <w:r>
        <w:rPr>
          <w:color w:val="231F20"/>
        </w:rPr>
        <w:t>take a long time to establish, i.e., when there are large </w:t>
      </w:r>
      <w:r>
        <w:rPr>
          <w:color w:val="231F20"/>
          <w:spacing w:val="-3"/>
        </w:rPr>
        <w:t>time </w:t>
      </w:r>
      <w:r>
        <w:rPr>
          <w:color w:val="231F20"/>
        </w:rPr>
        <w:t>constants involved. Here a periodic readjustment (e.g., weekly) of stimulation parameters of aVNS by physicians may </w:t>
      </w:r>
      <w:r>
        <w:rPr>
          <w:color w:val="231F20"/>
          <w:spacing w:val="-7"/>
        </w:rPr>
        <w:t>be </w:t>
      </w:r>
      <w:r>
        <w:rPr>
          <w:color w:val="231F20"/>
        </w:rPr>
        <w:t>sufficient to account for these large time constants. However,  for relatively acute treatments, a closed-loop aVNS with </w:t>
      </w:r>
      <w:r>
        <w:rPr>
          <w:color w:val="231F20"/>
          <w:spacing w:val="-8"/>
        </w:rPr>
        <w:t>an </w:t>
      </w:r>
      <w:r>
        <w:rPr>
          <w:color w:val="231F20"/>
        </w:rPr>
        <w:t>instantaneous biofeedback – as shown in </w:t>
      </w:r>
      <w:hyperlink w:history="true" w:anchor="_bookmark5">
        <w:r>
          <w:rPr>
            <w:b/>
            <w:color w:val="231F20"/>
          </w:rPr>
          <w:t>Figure 5</w:t>
        </w:r>
      </w:hyperlink>
      <w:r>
        <w:rPr>
          <w:b/>
          <w:color w:val="231F20"/>
        </w:rPr>
        <w:t> </w:t>
      </w:r>
      <w:r>
        <w:rPr>
          <w:color w:val="231F20"/>
        </w:rPr>
        <w:t>– may </w:t>
      </w:r>
      <w:r>
        <w:rPr>
          <w:color w:val="231F20"/>
          <w:spacing w:val="-6"/>
        </w:rPr>
        <w:t>be </w:t>
      </w:r>
      <w:r>
        <w:rPr>
          <w:color w:val="231F20"/>
        </w:rPr>
        <w:t>more favorable where stimulation parameters are adapted </w:t>
      </w:r>
      <w:r>
        <w:rPr>
          <w:color w:val="231F20"/>
          <w:spacing w:val="-4"/>
        </w:rPr>
        <w:t>based </w:t>
      </w:r>
      <w:r>
        <w:rPr>
          <w:color w:val="231F20"/>
        </w:rPr>
        <w:t>on the concurrently recorded  physiological  impact  of  </w:t>
      </w:r>
      <w:r>
        <w:rPr>
          <w:color w:val="231F20"/>
          <w:spacing w:val="-4"/>
        </w:rPr>
        <w:t>aVNS.  </w:t>
      </w:r>
      <w:r>
        <w:rPr>
          <w:color w:val="231F20"/>
        </w:rPr>
        <w:t>A real-time adaptation of the aVNS stimulus is reasonable to control excitation of aVN according to momentary therapeutic needs and the actual physiological state of the</w:t>
      </w:r>
      <w:r>
        <w:rPr>
          <w:color w:val="231F20"/>
          <w:spacing w:val="-1"/>
        </w:rPr>
        <w:t> </w:t>
      </w:r>
      <w:r>
        <w:rPr>
          <w:color w:val="231F20"/>
        </w:rPr>
        <w:t>body.</w:t>
      </w:r>
    </w:p>
    <w:p>
      <w:pPr>
        <w:pStyle w:val="BodyText"/>
        <w:spacing w:line="213" w:lineRule="auto" w:before="8"/>
        <w:ind w:firstLine="229"/>
        <w:jc w:val="both"/>
      </w:pPr>
      <w:r>
        <w:rPr>
          <w:color w:val="231F20"/>
        </w:rPr>
        <w:t>Each individual patient can be expected to respond uniquely to aVNS therapy, e.g., findings in </w:t>
      </w:r>
      <w:hyperlink w:history="true" w:anchor="_bookmark33">
        <w:r>
          <w:rPr>
            <w:color w:val="6D6E71"/>
          </w:rPr>
          <w:t>Frei  and  Osorio</w:t>
        </w:r>
      </w:hyperlink>
      <w:r>
        <w:rPr>
          <w:color w:val="6D6E71"/>
        </w:rPr>
        <w:t>  </w:t>
      </w:r>
      <w:r>
        <w:rPr>
          <w:color w:val="6D6E71"/>
          <w:spacing w:val="-4"/>
        </w:rPr>
        <w:t>(</w:t>
      </w:r>
      <w:hyperlink w:history="true" w:anchor="_bookmark33">
        <w:r>
          <w:rPr>
            <w:color w:val="6D6E71"/>
            <w:spacing w:val="-4"/>
          </w:rPr>
          <w:t>2001</w:t>
        </w:r>
      </w:hyperlink>
      <w:r>
        <w:rPr>
          <w:color w:val="6D6E71"/>
          <w:spacing w:val="-4"/>
        </w:rPr>
        <w:t>)</w:t>
      </w:r>
      <w:r>
        <w:rPr>
          <w:color w:val="6D6E71"/>
          <w:spacing w:val="35"/>
        </w:rPr>
        <w:t> </w:t>
      </w:r>
      <w:r>
        <w:rPr>
          <w:color w:val="231F20"/>
        </w:rPr>
        <w:t>reveal variable effects of VNS  on  the  heart  rate  (bradycardia or</w:t>
      </w:r>
      <w:r>
        <w:rPr>
          <w:color w:val="231F20"/>
          <w:spacing w:val="13"/>
        </w:rPr>
        <w:t> </w:t>
      </w:r>
      <w:r>
        <w:rPr>
          <w:color w:val="231F20"/>
        </w:rPr>
        <w:t>tachycardia)</w:t>
      </w:r>
      <w:r>
        <w:rPr>
          <w:color w:val="231F20"/>
          <w:spacing w:val="14"/>
        </w:rPr>
        <w:t> </w:t>
      </w:r>
      <w:r>
        <w:rPr>
          <w:color w:val="231F20"/>
        </w:rPr>
        <w:t>between</w:t>
      </w:r>
      <w:r>
        <w:rPr>
          <w:color w:val="231F20"/>
          <w:spacing w:val="14"/>
        </w:rPr>
        <w:t> </w:t>
      </w:r>
      <w:r>
        <w:rPr>
          <w:color w:val="231F20"/>
        </w:rPr>
        <w:t>patients</w:t>
      </w:r>
      <w:r>
        <w:rPr>
          <w:color w:val="231F20"/>
          <w:spacing w:val="14"/>
        </w:rPr>
        <w:t> </w:t>
      </w:r>
      <w:r>
        <w:rPr>
          <w:color w:val="231F20"/>
        </w:rPr>
        <w:t>but</w:t>
      </w:r>
      <w:r>
        <w:rPr>
          <w:color w:val="231F20"/>
          <w:spacing w:val="13"/>
        </w:rPr>
        <w:t> </w:t>
      </w:r>
      <w:r>
        <w:rPr>
          <w:color w:val="231F20"/>
        </w:rPr>
        <w:t>consistent</w:t>
      </w:r>
      <w:r>
        <w:rPr>
          <w:color w:val="231F20"/>
          <w:spacing w:val="14"/>
        </w:rPr>
        <w:t> </w:t>
      </w:r>
      <w:r>
        <w:rPr>
          <w:color w:val="231F20"/>
        </w:rPr>
        <w:t>within</w:t>
      </w:r>
      <w:r>
        <w:rPr>
          <w:color w:val="231F20"/>
          <w:spacing w:val="14"/>
        </w:rPr>
        <w:t> </w:t>
      </w:r>
      <w:r>
        <w:rPr>
          <w:color w:val="231F20"/>
        </w:rPr>
        <w:t>patients.</w:t>
      </w:r>
    </w:p>
    <w:p>
      <w:pPr>
        <w:pStyle w:val="BodyText"/>
        <w:spacing w:line="213" w:lineRule="auto" w:before="107"/>
        <w:ind w:right="155"/>
        <w:jc w:val="both"/>
      </w:pPr>
      <w:r>
        <w:rPr/>
        <w:br w:type="column"/>
      </w:r>
      <w:r>
        <w:rPr>
          <w:color w:val="231F20"/>
        </w:rPr>
        <w:t>Therefore, the commonly delivered open-loop aVNS </w:t>
      </w:r>
      <w:r>
        <w:rPr>
          <w:color w:val="231F20"/>
          <w:spacing w:val="-5"/>
        </w:rPr>
        <w:t>may </w:t>
      </w:r>
      <w:r>
        <w:rPr>
          <w:color w:val="231F20"/>
        </w:rPr>
        <w:t>significantly limit the aVNS effectiveness unless a proper adaptivity of aVNS through biofeedback is established within     a patient. In contrast to the open-loop aVNS, the closed-loop aVNS adapts  rapidly  to  changing  conditions  and  thus  offers a personalized aVNS for a personalized disease control with increased</w:t>
      </w:r>
      <w:r>
        <w:rPr>
          <w:color w:val="231F20"/>
          <w:spacing w:val="-13"/>
        </w:rPr>
        <w:t> </w:t>
      </w:r>
      <w:r>
        <w:rPr>
          <w:color w:val="231F20"/>
        </w:rPr>
        <w:t>therapeutic</w:t>
      </w:r>
      <w:r>
        <w:rPr>
          <w:color w:val="231F20"/>
          <w:spacing w:val="-12"/>
        </w:rPr>
        <w:t> </w:t>
      </w:r>
      <w:r>
        <w:rPr>
          <w:color w:val="231F20"/>
        </w:rPr>
        <w:t>efficiency,</w:t>
      </w:r>
      <w:r>
        <w:rPr>
          <w:color w:val="231F20"/>
          <w:spacing w:val="-12"/>
        </w:rPr>
        <w:t> </w:t>
      </w:r>
      <w:r>
        <w:rPr>
          <w:color w:val="231F20"/>
        </w:rPr>
        <w:t>raised</w:t>
      </w:r>
      <w:r>
        <w:rPr>
          <w:color w:val="231F20"/>
          <w:spacing w:val="-12"/>
        </w:rPr>
        <w:t> </w:t>
      </w:r>
      <w:r>
        <w:rPr>
          <w:color w:val="231F20"/>
        </w:rPr>
        <w:t>quality</w:t>
      </w:r>
      <w:r>
        <w:rPr>
          <w:color w:val="231F20"/>
          <w:spacing w:val="-12"/>
        </w:rPr>
        <w:t> </w:t>
      </w:r>
      <w:r>
        <w:rPr>
          <w:color w:val="231F20"/>
        </w:rPr>
        <w:t>of</w:t>
      </w:r>
      <w:r>
        <w:rPr>
          <w:color w:val="231F20"/>
          <w:spacing w:val="-12"/>
        </w:rPr>
        <w:t> </w:t>
      </w:r>
      <w:r>
        <w:rPr>
          <w:color w:val="231F20"/>
        </w:rPr>
        <w:t>life,</w:t>
      </w:r>
      <w:r>
        <w:rPr>
          <w:color w:val="231F20"/>
          <w:spacing w:val="-12"/>
        </w:rPr>
        <w:t> </w:t>
      </w:r>
      <w:r>
        <w:rPr>
          <w:color w:val="231F20"/>
        </w:rPr>
        <w:t>and</w:t>
      </w:r>
      <w:r>
        <w:rPr>
          <w:color w:val="231F20"/>
          <w:spacing w:val="-12"/>
        </w:rPr>
        <w:t> </w:t>
      </w:r>
      <w:r>
        <w:rPr>
          <w:color w:val="231F20"/>
        </w:rPr>
        <w:t>reduced severity of side</w:t>
      </w:r>
      <w:r>
        <w:rPr>
          <w:color w:val="231F20"/>
          <w:spacing w:val="1"/>
        </w:rPr>
        <w:t> </w:t>
      </w:r>
      <w:r>
        <w:rPr>
          <w:color w:val="231F20"/>
        </w:rPr>
        <w:t>effects.</w:t>
      </w:r>
    </w:p>
    <w:p>
      <w:pPr>
        <w:pStyle w:val="BodyText"/>
        <w:spacing w:before="8"/>
        <w:ind w:left="0"/>
        <w:rPr>
          <w:sz w:val="34"/>
        </w:rPr>
      </w:pPr>
    </w:p>
    <w:p>
      <w:pPr>
        <w:pStyle w:val="BodyText"/>
        <w:spacing w:line="213" w:lineRule="auto"/>
        <w:ind w:right="155" w:firstLine="1157"/>
        <w:jc w:val="both"/>
      </w:pPr>
      <w:r>
        <w:rPr/>
        <w:pict>
          <v:shape style="position:absolute;margin-left:390.451538pt;margin-top:34.020775pt;width:162.1pt;height:11.5pt;mso-position-horizontal-relative:page;mso-position-vertical-relative:paragraph;z-index:-40312" type="#_x0000_t202" filled="true" fillcolor="#fde164" stroked="false">
            <v:textbox inset="0,0,0,0">
              <w:txbxContent>
                <w:p>
                  <w:pPr>
                    <w:pStyle w:val="BodyText"/>
                    <w:spacing w:line="229" w:lineRule="exact"/>
                    <w:ind w:left="42"/>
                  </w:pPr>
                  <w:r>
                    <w:rPr>
                      <w:color w:val="231F20"/>
                    </w:rPr>
                    <w:t>A systematic overview of concurrent</w:t>
                  </w:r>
                </w:p>
              </w:txbxContent>
            </v:textbox>
            <v:fill opacity="26214f" type="solid"/>
            <w10:wrap type="none"/>
          </v:shape>
        </w:pict>
      </w:r>
      <w:r>
        <w:rPr/>
        <w:pict>
          <v:shape style="position:absolute;margin-left:301.522461pt;margin-top:.324174pt;width:54.4pt;height:11.5pt;mso-position-horizontal-relative:page;mso-position-vertical-relative:paragraph;z-index:-40288" type="#_x0000_t202" filled="true" fillcolor="#fde164" stroked="false">
            <v:textbox inset="0,0,0,0">
              <w:txbxContent>
                <w:p>
                  <w:pPr>
                    <w:pStyle w:val="BodyText"/>
                    <w:spacing w:line="229" w:lineRule="exact"/>
                    <w:ind w:left="42" w:right="-116"/>
                  </w:pPr>
                  <w:hyperlink w:history="true" w:anchor="_bookmark88">
                    <w:r>
                      <w:rPr>
                        <w:color w:val="6D6E71"/>
                      </w:rPr>
                      <w:t>et al.</w:t>
                    </w:r>
                  </w:hyperlink>
                  <w:r>
                    <w:rPr>
                      <w:color w:val="6D6E71"/>
                    </w:rPr>
                    <w:t>, </w:t>
                  </w:r>
                  <w:hyperlink w:history="true" w:anchor="_bookmark88">
                    <w:r>
                      <w:rPr>
                        <w:color w:val="6D6E71"/>
                      </w:rPr>
                      <w:t>2015</w:t>
                    </w:r>
                  </w:hyperlink>
                  <w:r>
                    <w:rPr>
                      <w:color w:val="231F20"/>
                    </w:rPr>
                    <w:t>);</w:t>
                  </w:r>
                  <w:r>
                    <w:rPr>
                      <w:color w:val="231F20"/>
                      <w:spacing w:val="39"/>
                    </w:rPr>
                    <w:t> </w:t>
                  </w:r>
                  <w:r>
                    <w:rPr>
                      <w:color w:val="231F20"/>
                      <w:spacing w:val="-14"/>
                    </w:rPr>
                    <w:t>m</w:t>
                  </w:r>
                </w:p>
              </w:txbxContent>
            </v:textbox>
            <v:fill opacity="26214f" type="solid"/>
            <w10:wrap type="none"/>
          </v:shape>
        </w:pict>
      </w:r>
      <w:r>
        <w:rPr/>
        <w:pict>
          <v:shape style="position:absolute;margin-left:301.522461pt;margin-top:-23.264126pt;width:251.05pt;height:23.6pt;mso-position-horizontal-relative:page;mso-position-vertical-relative:paragraph;z-index:3208" type="#_x0000_t202" filled="true" fillcolor="#fde164" stroked="false">
            <v:textbox inset="0,0,0,0">
              <w:txbxContent>
                <w:p>
                  <w:pPr>
                    <w:pStyle w:val="BodyText"/>
                    <w:spacing w:line="213" w:lineRule="auto" w:before="7"/>
                    <w:ind w:left="42" w:right="23"/>
                  </w:pPr>
                  <w:r>
                    <w:rPr>
                      <w:color w:val="231F20"/>
                    </w:rPr>
                    <w:t>stimulation in rats showed a reduction in the seizure frequency by 90% versus only 17% in the open-loop stimulation (</w:t>
                  </w:r>
                  <w:hyperlink w:history="true" w:anchor="_bookmark88">
                    <w:r>
                      <w:rPr>
                        <w:color w:val="6D6E71"/>
                      </w:rPr>
                      <w:t>Salam</w:t>
                    </w:r>
                  </w:hyperlink>
                </w:p>
              </w:txbxContent>
            </v:textbox>
            <v:fill opacity="26214f" type="solid"/>
            <w10:wrap type="none"/>
          </v:shape>
        </w:pict>
      </w:r>
      <w:r>
        <w:rPr/>
        <w:pict>
          <v:shape style="position:absolute;margin-left:391.392731pt;margin-top:-34.721027pt;width:161.2pt;height:11.5pt;mso-position-horizontal-relative:page;mso-position-vertical-relative:paragraph;z-index:-40240" type="#_x0000_t202" filled="true" fillcolor="#fde164" stroked="false">
            <v:textbox inset="0,0,0,0">
              <w:txbxContent>
                <w:p>
                  <w:pPr>
                    <w:pStyle w:val="BodyText"/>
                    <w:spacing w:line="229" w:lineRule="exact"/>
                    <w:ind w:left="42"/>
                  </w:pPr>
                  <w:r>
                    <w:rPr>
                      <w:color w:val="231F20"/>
                    </w:rPr>
                    <w:t>For instance, the closed-loop deep-brain</w:t>
                  </w:r>
                </w:p>
              </w:txbxContent>
            </v:textbox>
            <v:fill opacity="26214f" type="solid"/>
            <w10:wrap type="none"/>
          </v:shape>
        </w:pict>
      </w:r>
      <w:r>
        <w:rPr>
          <w:color w:val="231F20"/>
        </w:rPr>
        <w:t>ore examples on the closed-loop stimulation will follow. In addition, the closed-loop stimulation was shown to save energy by up to 42% in  deep-brain  stimulation  (</w:t>
      </w:r>
      <w:hyperlink w:history="true" w:anchor="_bookmark36">
        <w:r>
          <w:rPr>
            <w:color w:val="6D6E71"/>
          </w:rPr>
          <w:t>Grant</w:t>
        </w:r>
      </w:hyperlink>
      <w:r>
        <w:rPr>
          <w:color w:val="6D6E71"/>
        </w:rPr>
        <w:t>  </w:t>
      </w:r>
      <w:hyperlink w:history="true" w:anchor="_bookmark36">
        <w:r>
          <w:rPr>
            <w:color w:val="6D6E71"/>
          </w:rPr>
          <w:t>and Lowery</w:t>
        </w:r>
      </w:hyperlink>
      <w:r>
        <w:rPr>
          <w:color w:val="6D6E71"/>
        </w:rPr>
        <w:t>,</w:t>
      </w:r>
      <w:r>
        <w:rPr>
          <w:color w:val="6D6E71"/>
          <w:spacing w:val="10"/>
        </w:rPr>
        <w:t> </w:t>
      </w:r>
      <w:hyperlink w:history="true" w:anchor="_bookmark36">
        <w:r>
          <w:rPr>
            <w:color w:val="6D6E71"/>
          </w:rPr>
          <w:t>2012</w:t>
        </w:r>
      </w:hyperlink>
      <w:r>
        <w:rPr>
          <w:color w:val="231F20"/>
        </w:rPr>
        <w:t>).</w:t>
      </w:r>
    </w:p>
    <w:p>
      <w:pPr>
        <w:pStyle w:val="BodyText"/>
        <w:ind w:left="116"/>
        <w:rPr>
          <w:sz w:val="20"/>
        </w:rPr>
      </w:pPr>
      <w:r>
        <w:rPr>
          <w:sz w:val="20"/>
        </w:rPr>
        <w:pict>
          <v:shape style="width:251.05pt;height:23.6pt;mso-position-horizontal-relative:char;mso-position-vertical-relative:line" type="#_x0000_t202" filled="true" fillcolor="#fde164" stroked="false">
            <w10:anchorlock/>
            <v:textbox inset="0,0,0,0">
              <w:txbxContent>
                <w:p>
                  <w:pPr>
                    <w:pStyle w:val="BodyText"/>
                    <w:spacing w:line="213" w:lineRule="auto" w:before="7"/>
                    <w:ind w:left="42" w:right="9"/>
                  </w:pPr>
                  <w:r>
                    <w:rPr>
                      <w:color w:val="231F20"/>
                    </w:rPr>
                    <w:t>sensing and stimulation technologies in chronic closed-loop neuromodulation devices can be found in </w:t>
                  </w:r>
                  <w:hyperlink w:history="true" w:anchor="_bookmark98">
                    <w:r>
                      <w:rPr>
                        <w:color w:val="6D6E71"/>
                      </w:rPr>
                      <w:t>Stanslaski et al.</w:t>
                    </w:r>
                  </w:hyperlink>
                  <w:r>
                    <w:rPr>
                      <w:color w:val="6D6E71"/>
                    </w:rPr>
                    <w:t> (</w:t>
                  </w:r>
                  <w:hyperlink w:history="true" w:anchor="_bookmark98">
                    <w:r>
                      <w:rPr>
                        <w:color w:val="6D6E71"/>
                      </w:rPr>
                      <w:t>2012</w:t>
                    </w:r>
                  </w:hyperlink>
                  <w:r>
                    <w:rPr>
                      <w:color w:val="6D6E71"/>
                    </w:rPr>
                    <w:t>)</w:t>
                  </w:r>
                  <w:r>
                    <w:rPr>
                      <w:color w:val="231F20"/>
                    </w:rPr>
                    <w:t>.</w:t>
                  </w:r>
                </w:p>
              </w:txbxContent>
            </v:textbox>
            <v:fill opacity="26214f" type="solid"/>
          </v:shape>
        </w:pict>
      </w:r>
      <w:r>
        <w:rPr>
          <w:sz w:val="20"/>
        </w:rPr>
      </w:r>
    </w:p>
    <w:p>
      <w:pPr>
        <w:pStyle w:val="Heading1"/>
        <w:spacing w:before="129"/>
      </w:pPr>
      <w:bookmarkStart w:name="Formation of Biofeedback" w:id="16"/>
      <w:bookmarkEnd w:id="16"/>
      <w:r>
        <w:rPr/>
      </w:r>
      <w:r>
        <w:rPr>
          <w:color w:val="231F20"/>
          <w:w w:val="110"/>
        </w:rPr>
        <w:t>Formation of Biofeedback</w:t>
      </w:r>
    </w:p>
    <w:p>
      <w:pPr>
        <w:pStyle w:val="BodyText"/>
        <w:spacing w:line="213" w:lineRule="auto" w:before="21"/>
        <w:ind w:left="54" w:right="155"/>
        <w:jc w:val="right"/>
      </w:pPr>
      <w:r>
        <w:rPr>
          <w:color w:val="231F20"/>
        </w:rPr>
        <w:t>The easiest way to close the loop is to provide a simple on- demand activation of aVNS via subjective biofeedback or via a biomarker from the patient (e.g., activation via button of magnet stick in response to upcoming pain). However, besides missing objective physiological data, elderly and diseased patients cannot be expected to comply with this self-governed feature for a variety of reasons (</w:t>
      </w:r>
      <w:hyperlink w:history="true" w:anchor="_bookmark45">
        <w:r>
          <w:rPr>
            <w:color w:val="6D6E71"/>
          </w:rPr>
          <w:t>Kampusch et al.</w:t>
        </w:r>
      </w:hyperlink>
      <w:r>
        <w:rPr>
          <w:color w:val="6D6E71"/>
        </w:rPr>
        <w:t>, </w:t>
      </w:r>
      <w:hyperlink w:history="true" w:anchor="_bookmark45">
        <w:r>
          <w:rPr>
            <w:color w:val="6D6E71"/>
          </w:rPr>
          <w:t>2016</w:t>
        </w:r>
      </w:hyperlink>
      <w:r>
        <w:rPr>
          <w:color w:val="231F20"/>
        </w:rPr>
        <w:t>). In addition, subjective biofeedback is possible in specific diseases only (e.g., chronic back pain) which severity can be individually perceived by the patient.</w:t>
      </w:r>
    </w:p>
    <w:p>
      <w:pPr>
        <w:pStyle w:val="BodyText"/>
        <w:spacing w:line="213" w:lineRule="auto" w:before="9"/>
        <w:ind w:right="155" w:firstLine="229"/>
        <w:jc w:val="both"/>
      </w:pPr>
      <w:r>
        <w:rPr/>
        <w:pict>
          <v:shape style="position:absolute;margin-left:525.228271pt;margin-top:126.127693pt;width:27.35pt;height:11.5pt;mso-position-horizontal-relative:page;mso-position-vertical-relative:paragraph;z-index:-40336" type="#_x0000_t202" filled="true" fillcolor="#fde164" stroked="false">
            <v:textbox inset="0,0,0,0">
              <w:txbxContent>
                <w:p>
                  <w:pPr>
                    <w:pStyle w:val="BodyText"/>
                    <w:spacing w:line="229" w:lineRule="exact"/>
                    <w:ind w:left="-28"/>
                  </w:pPr>
                  <w:r>
                    <w:rPr>
                      <w:color w:val="231F20"/>
                    </w:rPr>
                    <w:t>r heart</w:t>
                  </w:r>
                </w:p>
              </w:txbxContent>
            </v:textbox>
            <v:fill opacity="26214f" type="solid"/>
            <w10:wrap type="none"/>
          </v:shape>
        </w:pict>
      </w:r>
      <w:r>
        <w:rPr>
          <w:color w:val="231F20"/>
        </w:rPr>
        <w:t>Thus, an algorithmic-driven activation/adjustment of </w:t>
      </w:r>
      <w:r>
        <w:rPr>
          <w:color w:val="231F20"/>
          <w:spacing w:val="-3"/>
        </w:rPr>
        <w:t>aVNS  </w:t>
      </w:r>
      <w:r>
        <w:rPr>
          <w:color w:val="231F20"/>
        </w:rPr>
        <w:t>is necessary based on individual physiological biofeedback provided back to the stimulator (</w:t>
      </w:r>
      <w:hyperlink w:history="true" w:anchor="_bookmark5">
        <w:r>
          <w:rPr>
            <w:b/>
            <w:color w:val="231F20"/>
          </w:rPr>
          <w:t>Figure 5</w:t>
        </w:r>
      </w:hyperlink>
      <w:r>
        <w:rPr>
          <w:color w:val="231F20"/>
        </w:rPr>
        <w:t>) and using different control models (</w:t>
      </w:r>
      <w:hyperlink w:history="true" w:anchor="_bookmark86">
        <w:r>
          <w:rPr>
            <w:color w:val="6D6E71"/>
          </w:rPr>
          <w:t>Romero-Ugalde et al.</w:t>
        </w:r>
      </w:hyperlink>
      <w:r>
        <w:rPr>
          <w:color w:val="6D6E71"/>
        </w:rPr>
        <w:t>, </w:t>
      </w:r>
      <w:hyperlink w:history="true" w:anchor="_bookmark86">
        <w:r>
          <w:rPr>
            <w:color w:val="6D6E71"/>
          </w:rPr>
          <w:t>2015</w:t>
        </w:r>
      </w:hyperlink>
      <w:r>
        <w:rPr>
          <w:color w:val="6D6E71"/>
        </w:rPr>
        <w:t>, </w:t>
      </w:r>
      <w:hyperlink w:history="true" w:anchor="_bookmark85">
        <w:r>
          <w:rPr>
            <w:color w:val="6D6E71"/>
          </w:rPr>
          <w:t>2017</w:t>
        </w:r>
      </w:hyperlink>
      <w:r>
        <w:rPr>
          <w:color w:val="231F20"/>
        </w:rPr>
        <w:t>). Recording and analysis of diverse biosignals in response to aVNS can </w:t>
      </w:r>
      <w:r>
        <w:rPr>
          <w:color w:val="231F20"/>
          <w:spacing w:val="-3"/>
        </w:rPr>
        <w:t>close </w:t>
      </w:r>
      <w:r>
        <w:rPr>
          <w:color w:val="231F20"/>
        </w:rPr>
        <w:t>the loop and thus allow optimization and personalization </w:t>
      </w:r>
      <w:r>
        <w:rPr>
          <w:color w:val="231F20"/>
          <w:spacing w:val="-6"/>
        </w:rPr>
        <w:t>of </w:t>
      </w:r>
      <w:r>
        <w:rPr>
          <w:color w:val="231F20"/>
        </w:rPr>
        <w:t>aVNS therapy. The particular choice of physiological signals employed as biofeedback depends on the therapeutic/target function of  aVNS.  For  instance,  peripheral  blood  flow  </w:t>
      </w:r>
      <w:r>
        <w:rPr>
          <w:color w:val="231F20"/>
          <w:spacing w:val="-5"/>
        </w:rPr>
        <w:t>can  </w:t>
      </w:r>
      <w:r>
        <w:rPr>
          <w:color w:val="231F20"/>
        </w:rPr>
        <w:t>be used as a biofeedback signal when targeting peripheral vasodilation with aVNS, the tonus of the muscle excitation when targeting</w:t>
      </w:r>
      <w:r>
        <w:rPr>
          <w:color w:val="231F20"/>
          <w:spacing w:val="22"/>
        </w:rPr>
        <w:t> </w:t>
      </w:r>
      <w:r>
        <w:rPr>
          <w:color w:val="231F20"/>
        </w:rPr>
        <w:t>involuntary</w:t>
      </w:r>
      <w:r>
        <w:rPr>
          <w:color w:val="231F20"/>
          <w:spacing w:val="22"/>
        </w:rPr>
        <w:t> </w:t>
      </w:r>
      <w:r>
        <w:rPr>
          <w:color w:val="231F20"/>
        </w:rPr>
        <w:t>muscle</w:t>
      </w:r>
      <w:r>
        <w:rPr>
          <w:color w:val="231F20"/>
          <w:spacing w:val="22"/>
        </w:rPr>
        <w:t> </w:t>
      </w:r>
      <w:r>
        <w:rPr>
          <w:color w:val="231F20"/>
        </w:rPr>
        <w:t>contractions</w:t>
      </w:r>
      <w:r>
        <w:rPr>
          <w:color w:val="231F20"/>
          <w:spacing w:val="22"/>
        </w:rPr>
        <w:t> </w:t>
      </w:r>
      <w:r>
        <w:rPr>
          <w:color w:val="231F20"/>
        </w:rPr>
        <w:t>in</w:t>
      </w:r>
      <w:r>
        <w:rPr>
          <w:color w:val="231F20"/>
          <w:spacing w:val="22"/>
        </w:rPr>
        <w:t> </w:t>
      </w:r>
      <w:r>
        <w:rPr>
          <w:color w:val="231F20"/>
        </w:rPr>
        <w:t>dystonia,</w:t>
      </w:r>
      <w:r>
        <w:rPr>
          <w:color w:val="231F20"/>
          <w:spacing w:val="22"/>
        </w:rPr>
        <w:t> </w:t>
      </w:r>
      <w:r>
        <w:rPr>
          <w:color w:val="231F20"/>
        </w:rPr>
        <w:t>o</w:t>
      </w:r>
    </w:p>
    <w:p>
      <w:pPr>
        <w:pStyle w:val="BodyText"/>
        <w:ind w:left="116"/>
        <w:rPr>
          <w:sz w:val="20"/>
        </w:rPr>
      </w:pPr>
      <w:r>
        <w:rPr>
          <w:sz w:val="20"/>
        </w:rPr>
        <w:pict>
          <v:shape style="width:251.05pt;height:46.55pt;mso-position-horizontal-relative:char;mso-position-vertical-relative:line" type="#_x0000_t202" filled="true" fillcolor="#fde164" stroked="false">
            <w10:anchorlock/>
            <v:textbox inset="0,0,0,0">
              <w:txbxContent>
                <w:p>
                  <w:pPr>
                    <w:pStyle w:val="BodyText"/>
                    <w:spacing w:line="213" w:lineRule="auto" w:before="7"/>
                    <w:ind w:left="42" w:right="40"/>
                    <w:jc w:val="both"/>
                  </w:pPr>
                  <w:r>
                    <w:rPr>
                      <w:color w:val="231F20"/>
                    </w:rPr>
                    <w:t>rate and heart rate variability (HRV) from electrocardiogram when detecting stressful pain attacks or even suppressing atrial fibrillation via aVNS activated only once fibrillation is detected or predicted (</w:t>
                  </w:r>
                  <w:hyperlink w:history="true" w:anchor="_bookmark16">
                    <w:r>
                      <w:rPr>
                        <w:color w:val="6D6E71"/>
                      </w:rPr>
                      <w:t>Boon et al.</w:t>
                    </w:r>
                  </w:hyperlink>
                  <w:r>
                    <w:rPr>
                      <w:color w:val="6D6E71"/>
                    </w:rPr>
                    <w:t>, </w:t>
                  </w:r>
                  <w:hyperlink w:history="true" w:anchor="_bookmark16">
                    <w:r>
                      <w:rPr>
                        <w:color w:val="6D6E71"/>
                      </w:rPr>
                      <w:t>2016</w:t>
                    </w:r>
                  </w:hyperlink>
                  <w:r>
                    <w:rPr>
                      <w:color w:val="231F20"/>
                    </w:rPr>
                    <w:t>) using linear and/or non-linear</w:t>
                  </w:r>
                </w:p>
              </w:txbxContent>
            </v:textbox>
            <v:fill opacity="26214f" type="solid"/>
          </v:shape>
        </w:pict>
      </w:r>
      <w:r>
        <w:rPr>
          <w:sz w:val="20"/>
        </w:rPr>
      </w:r>
    </w:p>
    <w:p>
      <w:pPr>
        <w:pStyle w:val="BodyText"/>
        <w:spacing w:line="213" w:lineRule="auto" w:before="192"/>
        <w:ind w:right="155" w:firstLine="229"/>
        <w:jc w:val="both"/>
      </w:pPr>
      <w:r>
        <w:rPr/>
        <w:pict>
          <v:shape style="position:absolute;margin-left:301.522461pt;margin-top:-1.533012pt;width:207.8pt;height:11.5pt;mso-position-horizontal-relative:page;mso-position-vertical-relative:paragraph;z-index:3112" type="#_x0000_t202" filled="true" fillcolor="#fde164" stroked="false">
            <v:textbox inset="0,0,0,0">
              <w:txbxContent>
                <w:p>
                  <w:pPr>
                    <w:pStyle w:val="BodyText"/>
                    <w:spacing w:line="229" w:lineRule="exact"/>
                    <w:ind w:left="42"/>
                  </w:pPr>
                  <w:r>
                    <w:rPr>
                      <w:color w:val="231F20"/>
                    </w:rPr>
                    <w:t>methods (</w:t>
                  </w:r>
                  <w:hyperlink w:history="true" w:anchor="_bookmark75">
                    <w:r>
                      <w:rPr>
                        <w:color w:val="6D6E71"/>
                      </w:rPr>
                      <w:t>Pierzchalski et al.</w:t>
                    </w:r>
                  </w:hyperlink>
                  <w:r>
                    <w:rPr>
                      <w:color w:val="6D6E71"/>
                    </w:rPr>
                    <w:t>, </w:t>
                  </w:r>
                  <w:hyperlink w:history="true" w:anchor="_bookmark75">
                    <w:r>
                      <w:rPr>
                        <w:color w:val="6D6E71"/>
                      </w:rPr>
                      <w:t>2011</w:t>
                    </w:r>
                  </w:hyperlink>
                  <w:r>
                    <w:rPr>
                      <w:color w:val="231F20"/>
                    </w:rPr>
                    <w:t>; </w:t>
                  </w:r>
                  <w:hyperlink w:history="true" w:anchor="_bookmark68">
                    <w:r>
                      <w:rPr>
                        <w:color w:val="6D6E71"/>
                      </w:rPr>
                      <w:t>Nayak et al.</w:t>
                    </w:r>
                  </w:hyperlink>
                  <w:r>
                    <w:rPr>
                      <w:color w:val="6D6E71"/>
                    </w:rPr>
                    <w:t>, </w:t>
                  </w:r>
                  <w:hyperlink w:history="true" w:anchor="_bookmark68">
                    <w:r>
                      <w:rPr>
                        <w:color w:val="6D6E71"/>
                      </w:rPr>
                      <w:t>2018</w:t>
                    </w:r>
                  </w:hyperlink>
                  <w:r>
                    <w:rPr>
                      <w:color w:val="231F20"/>
                    </w:rPr>
                    <w:t>).</w:t>
                  </w:r>
                </w:p>
              </w:txbxContent>
            </v:textbox>
            <v:fill opacity="26214f" type="solid"/>
            <w10:wrap type="none"/>
          </v:shape>
        </w:pict>
      </w:r>
      <w:r>
        <w:rPr>
          <w:color w:val="231F20"/>
        </w:rPr>
        <w:t>Instantaneous changes of the heart rate can be viewed as a phasic expression of central  integrative  processes  in  </w:t>
      </w:r>
      <w:r>
        <w:rPr>
          <w:color w:val="231F20"/>
          <w:spacing w:val="-3"/>
        </w:rPr>
        <w:t>response </w:t>
      </w:r>
      <w:r>
        <w:rPr>
          <w:color w:val="231F20"/>
        </w:rPr>
        <w:t>to different tonic sensory signals. The frequency of heart rate changes is subjected to different competing mechanisms, which range from selective heart frequency entrainment to a specific physiological process, e.g., to the respiration cycle in terms of  the respiratory sinus arrhythmia (</w:t>
      </w:r>
      <w:hyperlink w:history="true" w:anchor="_bookmark47">
        <w:r>
          <w:rPr>
            <w:color w:val="6D6E71"/>
          </w:rPr>
          <w:t>Kaniusas</w:t>
        </w:r>
      </w:hyperlink>
      <w:r>
        <w:rPr>
          <w:color w:val="6D6E71"/>
        </w:rPr>
        <w:t>, </w:t>
      </w:r>
      <w:hyperlink w:history="true" w:anchor="_bookmark47">
        <w:r>
          <w:rPr>
            <w:color w:val="6D6E71"/>
          </w:rPr>
          <w:t>2012</w:t>
        </w:r>
      </w:hyperlink>
      <w:r>
        <w:rPr>
          <w:color w:val="231F20"/>
        </w:rPr>
        <w:t>), to changes   in the gain of the feedback pathway (</w:t>
      </w:r>
      <w:hyperlink w:history="true" w:anchor="_bookmark32">
        <w:r>
          <w:rPr>
            <w:color w:val="6D6E71"/>
          </w:rPr>
          <w:t>Fallen et al.</w:t>
        </w:r>
      </w:hyperlink>
      <w:r>
        <w:rPr>
          <w:color w:val="6D6E71"/>
        </w:rPr>
        <w:t>, </w:t>
      </w:r>
      <w:hyperlink w:history="true" w:anchor="_bookmark32">
        <w:r>
          <w:rPr>
            <w:color w:val="6D6E71"/>
          </w:rPr>
          <w:t>2001</w:t>
        </w:r>
      </w:hyperlink>
      <w:r>
        <w:rPr>
          <w:color w:val="231F20"/>
        </w:rPr>
        <w:t>). For instance, VNS in a dog model was switched on when the </w:t>
      </w:r>
      <w:r>
        <w:rPr>
          <w:color w:val="231F20"/>
          <w:spacing w:val="-3"/>
        </w:rPr>
        <w:t>heart </w:t>
      </w:r>
      <w:r>
        <w:rPr>
          <w:color w:val="231F20"/>
        </w:rPr>
        <w:t>interval dropped below a certain threshold in order to</w:t>
      </w:r>
      <w:r>
        <w:rPr>
          <w:color w:val="231F20"/>
          <w:spacing w:val="-26"/>
        </w:rPr>
        <w:t> </w:t>
      </w:r>
      <w:r>
        <w:rPr>
          <w:color w:val="231F20"/>
        </w:rPr>
        <w:t>counteract arrhythmias which are favored by short heart intervals (</w:t>
      </w:r>
      <w:hyperlink w:history="true" w:anchor="_bookmark15">
        <w:r>
          <w:rPr>
            <w:color w:val="6D6E71"/>
          </w:rPr>
          <w:t>Bilgutay</w:t>
        </w:r>
      </w:hyperlink>
      <w:r>
        <w:rPr>
          <w:color w:val="6D6E71"/>
        </w:rPr>
        <w:t> </w:t>
      </w:r>
      <w:hyperlink w:history="true" w:anchor="_bookmark15">
        <w:r>
          <w:rPr>
            <w:color w:val="6D6E71"/>
          </w:rPr>
          <w:t>et</w:t>
        </w:r>
        <w:r>
          <w:rPr>
            <w:color w:val="6D6E71"/>
            <w:spacing w:val="-7"/>
          </w:rPr>
          <w:t> </w:t>
        </w:r>
        <w:r>
          <w:rPr>
            <w:color w:val="6D6E71"/>
          </w:rPr>
          <w:t>al.</w:t>
        </w:r>
      </w:hyperlink>
      <w:r>
        <w:rPr>
          <w:color w:val="6D6E71"/>
        </w:rPr>
        <w:t>,</w:t>
      </w:r>
      <w:r>
        <w:rPr>
          <w:color w:val="6D6E71"/>
          <w:spacing w:val="-5"/>
        </w:rPr>
        <w:t> </w:t>
      </w:r>
      <w:hyperlink w:history="true" w:anchor="_bookmark15">
        <w:r>
          <w:rPr>
            <w:color w:val="6D6E71"/>
          </w:rPr>
          <w:t>1968</w:t>
        </w:r>
      </w:hyperlink>
      <w:r>
        <w:rPr>
          <w:color w:val="231F20"/>
        </w:rPr>
        <w:t>).</w:t>
      </w:r>
      <w:r>
        <w:rPr>
          <w:color w:val="231F20"/>
          <w:spacing w:val="-6"/>
        </w:rPr>
        <w:t> </w:t>
      </w:r>
      <w:r>
        <w:rPr>
          <w:color w:val="231F20"/>
        </w:rPr>
        <w:t>A</w:t>
      </w:r>
      <w:r>
        <w:rPr>
          <w:color w:val="231F20"/>
          <w:spacing w:val="-5"/>
        </w:rPr>
        <w:t> </w:t>
      </w:r>
      <w:r>
        <w:rPr>
          <w:color w:val="231F20"/>
        </w:rPr>
        <w:t>closed-loop</w:t>
      </w:r>
      <w:r>
        <w:rPr>
          <w:color w:val="231F20"/>
          <w:spacing w:val="-6"/>
        </w:rPr>
        <w:t> </w:t>
      </w:r>
      <w:r>
        <w:rPr>
          <w:color w:val="231F20"/>
        </w:rPr>
        <w:t>control</w:t>
      </w:r>
      <w:r>
        <w:rPr>
          <w:color w:val="231F20"/>
          <w:spacing w:val="-5"/>
        </w:rPr>
        <w:t> </w:t>
      </w:r>
      <w:r>
        <w:rPr>
          <w:color w:val="231F20"/>
        </w:rPr>
        <w:t>of</w:t>
      </w:r>
      <w:r>
        <w:rPr>
          <w:color w:val="231F20"/>
          <w:spacing w:val="-6"/>
        </w:rPr>
        <w:t> </w:t>
      </w:r>
      <w:r>
        <w:rPr>
          <w:color w:val="231F20"/>
        </w:rPr>
        <w:t>the</w:t>
      </w:r>
      <w:r>
        <w:rPr>
          <w:color w:val="231F20"/>
          <w:spacing w:val="-6"/>
        </w:rPr>
        <w:t> </w:t>
      </w:r>
      <w:r>
        <w:rPr>
          <w:color w:val="231F20"/>
        </w:rPr>
        <w:t>heart</w:t>
      </w:r>
      <w:r>
        <w:rPr>
          <w:color w:val="231F20"/>
          <w:spacing w:val="-5"/>
        </w:rPr>
        <w:t> </w:t>
      </w:r>
      <w:r>
        <w:rPr>
          <w:color w:val="231F20"/>
        </w:rPr>
        <w:t>rate</w:t>
      </w:r>
      <w:r>
        <w:rPr>
          <w:color w:val="231F20"/>
          <w:spacing w:val="-6"/>
        </w:rPr>
        <w:t> </w:t>
      </w:r>
      <w:r>
        <w:rPr>
          <w:color w:val="231F20"/>
        </w:rPr>
        <w:t>was</w:t>
      </w:r>
      <w:r>
        <w:rPr>
          <w:color w:val="231F20"/>
          <w:spacing w:val="-5"/>
        </w:rPr>
        <w:t> </w:t>
      </w:r>
      <w:r>
        <w:rPr>
          <w:color w:val="231F20"/>
        </w:rPr>
        <w:t>employed in pigs based on the invasive VNS (</w:t>
      </w:r>
      <w:hyperlink w:history="true" w:anchor="_bookmark106">
        <w:r>
          <w:rPr>
            <w:color w:val="6D6E71"/>
          </w:rPr>
          <w:t>Tosato et al.</w:t>
        </w:r>
      </w:hyperlink>
      <w:r>
        <w:rPr>
          <w:color w:val="6D6E71"/>
        </w:rPr>
        <w:t>, </w:t>
      </w:r>
      <w:hyperlink w:history="true" w:anchor="_bookmark106">
        <w:r>
          <w:rPr>
            <w:color w:val="6D6E71"/>
          </w:rPr>
          <w:t>2006</w:t>
        </w:r>
      </w:hyperlink>
      <w:r>
        <w:rPr>
          <w:color w:val="231F20"/>
        </w:rPr>
        <w:t>) where</w:t>
      </w:r>
      <w:r>
        <w:rPr>
          <w:color w:val="231F20"/>
          <w:spacing w:val="9"/>
        </w:rPr>
        <w:t> </w:t>
      </w:r>
      <w:r>
        <w:rPr>
          <w:color w:val="231F20"/>
        </w:rPr>
        <w:t>the</w:t>
      </w:r>
    </w:p>
    <w:p>
      <w:pPr>
        <w:spacing w:after="0" w:line="213" w:lineRule="auto"/>
        <w:jc w:val="both"/>
        <w:sectPr>
          <w:type w:val="continuous"/>
          <w:pgSz w:w="11910" w:h="15600"/>
          <w:pgMar w:top="520" w:bottom="780" w:left="740" w:right="740"/>
          <w:cols w:num="2" w:equalWidth="0">
            <w:col w:w="5095" w:space="79"/>
            <w:col w:w="5256"/>
          </w:cols>
        </w:sectPr>
      </w:pPr>
    </w:p>
    <w:p>
      <w:pPr>
        <w:pStyle w:val="BodyText"/>
        <w:spacing w:before="6"/>
        <w:ind w:left="0"/>
        <w:rPr>
          <w:sz w:val="29"/>
        </w:rPr>
      </w:pPr>
    </w:p>
    <w:p>
      <w:pPr>
        <w:pStyle w:val="BodyText"/>
        <w:rPr>
          <w:sz w:val="20"/>
        </w:rPr>
      </w:pPr>
      <w:r>
        <w:rPr>
          <w:sz w:val="20"/>
        </w:rPr>
        <w:pict>
          <v:group style="width:505.45pt;height:339.2pt;mso-position-horizontal-relative:char;mso-position-vertical-relative:line" coordorigin="0,0" coordsize="10109,6784">
            <v:shape style="position:absolute;left:1373;top:160;width:7311;height:4767" type="#_x0000_t75" stroked="false">
              <v:imagedata r:id="rId45" o:title=""/>
            </v:shape>
            <v:shape style="position:absolute;left:1389;top:154;width:110;height:110" type="#_x0000_t75" stroked="false">
              <v:imagedata r:id="rId46" o:title=""/>
            </v:shape>
            <v:shape style="position:absolute;left:2;top:2;width:10104;height:6779" type="#_x0000_t202" filled="false" stroked="true" strokeweight=".249pt" strokecolor="#000000">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4"/>
                      <w:rPr>
                        <w:sz w:val="17"/>
                      </w:rPr>
                    </w:pPr>
                  </w:p>
                  <w:p>
                    <w:pPr>
                      <w:spacing w:line="283" w:lineRule="auto" w:before="0"/>
                      <w:ind w:left="119" w:right="187" w:firstLine="0"/>
                      <w:jc w:val="left"/>
                      <w:rPr>
                        <w:rFonts w:ascii="Arial" w:hAnsi="Arial"/>
                        <w:sz w:val="14"/>
                      </w:rPr>
                    </w:pPr>
                    <w:bookmarkStart w:name="_bookmark5" w:id="17"/>
                    <w:bookmarkEnd w:id="17"/>
                    <w:r>
                      <w:rPr/>
                    </w:r>
                    <w:r>
                      <w:rPr>
                        <w:rFonts w:ascii="Arial" w:hAnsi="Arial"/>
                        <w:color w:val="231F20"/>
                        <w:sz w:val="14"/>
                      </w:rPr>
                      <w:t>FIGURE</w:t>
                    </w:r>
                    <w:r>
                      <w:rPr>
                        <w:rFonts w:ascii="Arial" w:hAnsi="Arial"/>
                        <w:color w:val="231F20"/>
                        <w:spacing w:val="-12"/>
                        <w:sz w:val="14"/>
                      </w:rPr>
                      <w:t> </w:t>
                    </w:r>
                    <w:r>
                      <w:rPr>
                        <w:rFonts w:ascii="Arial" w:hAnsi="Arial"/>
                        <w:color w:val="231F20"/>
                        <w:sz w:val="14"/>
                      </w:rPr>
                      <w:t>5</w:t>
                    </w:r>
                    <w:r>
                      <w:rPr>
                        <w:rFonts w:ascii="Arial" w:hAnsi="Arial"/>
                        <w:color w:val="231F20"/>
                        <w:spacing w:val="-12"/>
                        <w:sz w:val="14"/>
                      </w:rPr>
                      <w:t> </w:t>
                    </w:r>
                    <w:r>
                      <w:rPr>
                        <w:rFonts w:ascii="Arial" w:hAnsi="Arial"/>
                        <w:color w:val="231F20"/>
                        <w:sz w:val="14"/>
                      </w:rPr>
                      <w:t>|</w:t>
                    </w:r>
                    <w:r>
                      <w:rPr>
                        <w:rFonts w:ascii="Arial" w:hAnsi="Arial"/>
                        <w:color w:val="231F20"/>
                        <w:spacing w:val="-12"/>
                        <w:sz w:val="14"/>
                      </w:rPr>
                      <w:t> </w:t>
                    </w:r>
                    <w:r>
                      <w:rPr>
                        <w:rFonts w:ascii="Arial" w:hAnsi="Arial"/>
                        <w:color w:val="231F20"/>
                        <w:sz w:val="14"/>
                      </w:rPr>
                      <w:t>Personalized</w:t>
                    </w:r>
                    <w:r>
                      <w:rPr>
                        <w:rFonts w:ascii="Arial" w:hAnsi="Arial"/>
                        <w:color w:val="231F20"/>
                        <w:spacing w:val="-11"/>
                        <w:sz w:val="14"/>
                      </w:rPr>
                      <w:t> </w:t>
                    </w:r>
                    <w:r>
                      <w:rPr>
                        <w:rFonts w:ascii="Arial" w:hAnsi="Arial"/>
                        <w:color w:val="231F20"/>
                        <w:sz w:val="14"/>
                      </w:rPr>
                      <w:t>aVNS.</w:t>
                    </w:r>
                    <w:r>
                      <w:rPr>
                        <w:rFonts w:ascii="Arial" w:hAnsi="Arial"/>
                        <w:color w:val="231F20"/>
                        <w:spacing w:val="-12"/>
                        <w:sz w:val="14"/>
                      </w:rPr>
                      <w:t> </w:t>
                    </w:r>
                    <w:r>
                      <w:rPr>
                        <w:rFonts w:ascii="Arial" w:hAnsi="Arial"/>
                        <w:color w:val="231F20"/>
                        <w:sz w:val="14"/>
                      </w:rPr>
                      <w:t>(A)</w:t>
                    </w:r>
                    <w:r>
                      <w:rPr>
                        <w:rFonts w:ascii="Arial" w:hAnsi="Arial"/>
                        <w:color w:val="231F20"/>
                        <w:spacing w:val="-12"/>
                        <w:sz w:val="14"/>
                      </w:rPr>
                      <w:t> </w:t>
                    </w:r>
                    <w:r>
                      <w:rPr>
                        <w:rFonts w:ascii="Arial" w:hAnsi="Arial"/>
                        <w:color w:val="231F20"/>
                        <w:sz w:val="14"/>
                      </w:rPr>
                      <w:t>The</w:t>
                    </w:r>
                    <w:r>
                      <w:rPr>
                        <w:rFonts w:ascii="Arial" w:hAnsi="Arial"/>
                        <w:color w:val="231F20"/>
                        <w:spacing w:val="-12"/>
                        <w:sz w:val="14"/>
                      </w:rPr>
                      <w:t> </w:t>
                    </w:r>
                    <w:r>
                      <w:rPr>
                        <w:rFonts w:ascii="Arial" w:hAnsi="Arial"/>
                        <w:color w:val="231F20"/>
                        <w:sz w:val="14"/>
                      </w:rPr>
                      <w:t>closed-loop</w:t>
                    </w:r>
                    <w:r>
                      <w:rPr>
                        <w:rFonts w:ascii="Arial" w:hAnsi="Arial"/>
                        <w:color w:val="231F20"/>
                        <w:spacing w:val="-11"/>
                        <w:sz w:val="14"/>
                      </w:rPr>
                      <w:t> </w:t>
                    </w:r>
                    <w:r>
                      <w:rPr>
                        <w:rFonts w:ascii="Arial" w:hAnsi="Arial"/>
                        <w:color w:val="231F20"/>
                        <w:sz w:val="14"/>
                      </w:rPr>
                      <w:t>aVNS</w:t>
                    </w:r>
                    <w:r>
                      <w:rPr>
                        <w:rFonts w:ascii="Arial" w:hAnsi="Arial"/>
                        <w:color w:val="231F20"/>
                        <w:spacing w:val="-12"/>
                        <w:sz w:val="14"/>
                      </w:rPr>
                      <w:t> </w:t>
                    </w:r>
                    <w:r>
                      <w:rPr>
                        <w:rFonts w:ascii="Arial" w:hAnsi="Arial"/>
                        <w:color w:val="231F20"/>
                        <w:sz w:val="14"/>
                      </w:rPr>
                      <w:t>with</w:t>
                    </w:r>
                    <w:r>
                      <w:rPr>
                        <w:rFonts w:ascii="Arial" w:hAnsi="Arial"/>
                        <w:color w:val="231F20"/>
                        <w:spacing w:val="-12"/>
                        <w:sz w:val="14"/>
                      </w:rPr>
                      <w:t> </w:t>
                    </w:r>
                    <w:r>
                      <w:rPr>
                        <w:rFonts w:ascii="Arial" w:hAnsi="Arial"/>
                        <w:color w:val="231F20"/>
                        <w:sz w:val="14"/>
                      </w:rPr>
                      <w:t>the</w:t>
                    </w:r>
                    <w:r>
                      <w:rPr>
                        <w:rFonts w:ascii="Arial" w:hAnsi="Arial"/>
                        <w:color w:val="231F20"/>
                        <w:spacing w:val="-12"/>
                        <w:sz w:val="14"/>
                      </w:rPr>
                      <w:t> </w:t>
                    </w:r>
                    <w:r>
                      <w:rPr>
                        <w:rFonts w:ascii="Arial" w:hAnsi="Arial"/>
                        <w:color w:val="231F20"/>
                        <w:sz w:val="14"/>
                      </w:rPr>
                      <w:t>physiological</w:t>
                    </w:r>
                    <w:r>
                      <w:rPr>
                        <w:rFonts w:ascii="Arial" w:hAnsi="Arial"/>
                        <w:color w:val="231F20"/>
                        <w:spacing w:val="-11"/>
                        <w:sz w:val="14"/>
                      </w:rPr>
                      <w:t> </w:t>
                    </w:r>
                    <w:r>
                      <w:rPr>
                        <w:rFonts w:ascii="Arial" w:hAnsi="Arial"/>
                        <w:color w:val="231F20"/>
                        <w:sz w:val="14"/>
                      </w:rPr>
                      <w:t>biofeedback</w:t>
                    </w:r>
                    <w:r>
                      <w:rPr>
                        <w:rFonts w:ascii="Arial" w:hAnsi="Arial"/>
                        <w:color w:val="231F20"/>
                        <w:spacing w:val="-12"/>
                        <w:sz w:val="14"/>
                      </w:rPr>
                      <w:t> </w:t>
                    </w:r>
                    <w:r>
                      <w:rPr>
                        <w:rFonts w:ascii="Arial" w:hAnsi="Arial"/>
                        <w:color w:val="231F20"/>
                        <w:sz w:val="14"/>
                      </w:rPr>
                      <w:t>(e.g.,</w:t>
                    </w:r>
                    <w:r>
                      <w:rPr>
                        <w:rFonts w:ascii="Arial" w:hAnsi="Arial"/>
                        <w:color w:val="231F20"/>
                        <w:spacing w:val="-12"/>
                        <w:sz w:val="14"/>
                      </w:rPr>
                      <w:t> </w:t>
                    </w:r>
                    <w:r>
                      <w:rPr>
                        <w:rFonts w:ascii="Arial" w:hAnsi="Arial"/>
                        <w:color w:val="231F20"/>
                        <w:sz w:val="14"/>
                      </w:rPr>
                      <w:t>magnitude</w:t>
                    </w:r>
                    <w:r>
                      <w:rPr>
                        <w:rFonts w:ascii="Arial" w:hAnsi="Arial"/>
                        <w:color w:val="231F20"/>
                        <w:spacing w:val="-12"/>
                        <w:sz w:val="14"/>
                      </w:rPr>
                      <w:t> </w:t>
                    </w:r>
                    <w:r>
                      <w:rPr>
                        <w:rFonts w:ascii="Arial" w:hAnsi="Arial"/>
                        <w:color w:val="231F20"/>
                        <w:sz w:val="14"/>
                      </w:rPr>
                      <w:t>of</w:t>
                    </w:r>
                    <w:r>
                      <w:rPr>
                        <w:rFonts w:ascii="Arial" w:hAnsi="Arial"/>
                        <w:color w:val="231F20"/>
                        <w:spacing w:val="-11"/>
                        <w:sz w:val="14"/>
                      </w:rPr>
                      <w:t> </w:t>
                    </w:r>
                    <w:r>
                      <w:rPr>
                        <w:rFonts w:ascii="Arial" w:hAnsi="Arial"/>
                        <w:color w:val="231F20"/>
                        <w:sz w:val="14"/>
                      </w:rPr>
                      <w:t>the</w:t>
                    </w:r>
                    <w:r>
                      <w:rPr>
                        <w:rFonts w:ascii="Arial" w:hAnsi="Arial"/>
                        <w:color w:val="231F20"/>
                        <w:spacing w:val="-12"/>
                        <w:sz w:val="14"/>
                      </w:rPr>
                      <w:t> </w:t>
                    </w:r>
                    <w:r>
                      <w:rPr>
                        <w:rFonts w:ascii="Arial" w:hAnsi="Arial"/>
                        <w:color w:val="231F20"/>
                        <w:sz w:val="14"/>
                      </w:rPr>
                      <w:t>pulse</w:t>
                    </w:r>
                    <w:r>
                      <w:rPr>
                        <w:rFonts w:ascii="Arial" w:hAnsi="Arial"/>
                        <w:color w:val="231F20"/>
                        <w:spacing w:val="-12"/>
                        <w:sz w:val="14"/>
                      </w:rPr>
                      <w:t> </w:t>
                    </w:r>
                    <w:r>
                      <w:rPr>
                        <w:rFonts w:ascii="Arial" w:hAnsi="Arial"/>
                        <w:color w:val="231F20"/>
                        <w:sz w:val="14"/>
                      </w:rPr>
                      <w:t>wave</w:t>
                    </w:r>
                    <w:r>
                      <w:rPr>
                        <w:rFonts w:ascii="Arial" w:hAnsi="Arial"/>
                        <w:color w:val="231F20"/>
                        <w:spacing w:val="-12"/>
                        <w:sz w:val="14"/>
                      </w:rPr>
                      <w:t> </w:t>
                    </w:r>
                    <w:r>
                      <w:rPr>
                        <w:rFonts w:ascii="Arial" w:hAnsi="Arial"/>
                        <w:color w:val="231F20"/>
                        <w:sz w:val="14"/>
                      </w:rPr>
                      <w:t>or</w:t>
                    </w:r>
                    <w:r>
                      <w:rPr>
                        <w:rFonts w:ascii="Arial" w:hAnsi="Arial"/>
                        <w:color w:val="231F20"/>
                        <w:spacing w:val="-11"/>
                        <w:sz w:val="14"/>
                      </w:rPr>
                      <w:t> </w:t>
                    </w:r>
                    <w:r>
                      <w:rPr>
                        <w:rFonts w:ascii="Arial" w:hAnsi="Arial"/>
                        <w:color w:val="231F20"/>
                        <w:sz w:val="14"/>
                      </w:rPr>
                      <w:t>HRV)</w:t>
                    </w:r>
                    <w:r>
                      <w:rPr>
                        <w:rFonts w:ascii="Arial" w:hAnsi="Arial"/>
                        <w:color w:val="231F20"/>
                        <w:spacing w:val="-12"/>
                        <w:sz w:val="14"/>
                      </w:rPr>
                      <w:t> </w:t>
                    </w:r>
                    <w:r>
                      <w:rPr>
                        <w:rFonts w:ascii="Arial" w:hAnsi="Arial"/>
                        <w:color w:val="231F20"/>
                        <w:sz w:val="14"/>
                      </w:rPr>
                      <w:t>which</w:t>
                    </w:r>
                    <w:r>
                      <w:rPr>
                        <w:rFonts w:ascii="Arial" w:hAnsi="Arial"/>
                        <w:color w:val="231F20"/>
                        <w:spacing w:val="-12"/>
                        <w:sz w:val="14"/>
                      </w:rPr>
                      <w:t> </w:t>
                    </w:r>
                    <w:r>
                      <w:rPr>
                        <w:rFonts w:ascii="Arial" w:hAnsi="Arial"/>
                        <w:color w:val="231F20"/>
                        <w:sz w:val="14"/>
                      </w:rPr>
                      <w:t>is</w:t>
                    </w:r>
                    <w:r>
                      <w:rPr>
                        <w:rFonts w:ascii="Arial" w:hAnsi="Arial"/>
                        <w:color w:val="231F20"/>
                        <w:spacing w:val="-12"/>
                        <w:sz w:val="14"/>
                      </w:rPr>
                      <w:t> </w:t>
                    </w:r>
                    <w:r>
                      <w:rPr>
                        <w:rFonts w:ascii="Arial" w:hAnsi="Arial"/>
                        <w:color w:val="231F20"/>
                        <w:sz w:val="14"/>
                      </w:rPr>
                      <w:t>used</w:t>
                    </w:r>
                    <w:r>
                      <w:rPr>
                        <w:rFonts w:ascii="Arial" w:hAnsi="Arial"/>
                        <w:color w:val="231F20"/>
                        <w:spacing w:val="-11"/>
                        <w:sz w:val="14"/>
                      </w:rPr>
                      <w:t> </w:t>
                    </w:r>
                    <w:r>
                      <w:rPr>
                        <w:rFonts w:ascii="Arial" w:hAnsi="Arial"/>
                        <w:color w:val="231F20"/>
                        <w:sz w:val="14"/>
                      </w:rPr>
                      <w:t>to</w:t>
                    </w:r>
                    <w:r>
                      <w:rPr>
                        <w:rFonts w:ascii="Arial" w:hAnsi="Arial"/>
                        <w:color w:val="231F20"/>
                        <w:spacing w:val="-12"/>
                        <w:sz w:val="14"/>
                      </w:rPr>
                      <w:t> </w:t>
                    </w:r>
                    <w:r>
                      <w:rPr>
                        <w:rFonts w:ascii="Arial" w:hAnsi="Arial"/>
                        <w:color w:val="231F20"/>
                        <w:sz w:val="14"/>
                      </w:rPr>
                      <w:t>control stimulation parameters of aVNS (e.g., the stimulus strength) in order to adhere to momentary therapeutic needs (e.g., optimal blood perfusion in legs). The biofeedback can also be used for a temporal synchronization of the applied stimuli with inner body rhythms (e.g., respiratory or cardiac cycle) to interfere constructively</w:t>
                    </w:r>
                    <w:r>
                      <w:rPr>
                        <w:rFonts w:ascii="Arial" w:hAnsi="Arial"/>
                        <w:color w:val="231F20"/>
                        <w:spacing w:val="-11"/>
                        <w:sz w:val="14"/>
                      </w:rPr>
                      <w:t> </w:t>
                    </w:r>
                    <w:r>
                      <w:rPr>
                        <w:rFonts w:ascii="Arial" w:hAnsi="Arial"/>
                        <w:color w:val="231F20"/>
                        <w:sz w:val="14"/>
                      </w:rPr>
                      <w:t>with</w:t>
                    </w:r>
                    <w:r>
                      <w:rPr>
                        <w:rFonts w:ascii="Arial" w:hAnsi="Arial"/>
                        <w:color w:val="231F20"/>
                        <w:spacing w:val="-10"/>
                        <w:sz w:val="14"/>
                      </w:rPr>
                      <w:t> </w:t>
                    </w:r>
                    <w:r>
                      <w:rPr>
                        <w:rFonts w:ascii="Arial" w:hAnsi="Arial"/>
                        <w:color w:val="231F20"/>
                        <w:sz w:val="14"/>
                      </w:rPr>
                      <w:t>the</w:t>
                    </w:r>
                    <w:r>
                      <w:rPr>
                        <w:rFonts w:ascii="Arial" w:hAnsi="Arial"/>
                        <w:color w:val="231F20"/>
                        <w:spacing w:val="-10"/>
                        <w:sz w:val="14"/>
                      </w:rPr>
                      <w:t> </w:t>
                    </w:r>
                    <w:r>
                      <w:rPr>
                        <w:rFonts w:ascii="Arial" w:hAnsi="Arial"/>
                        <w:color w:val="231F20"/>
                        <w:sz w:val="14"/>
                      </w:rPr>
                      <w:t>dynamics</w:t>
                    </w:r>
                    <w:r>
                      <w:rPr>
                        <w:rFonts w:ascii="Arial" w:hAnsi="Arial"/>
                        <w:color w:val="231F20"/>
                        <w:spacing w:val="-10"/>
                        <w:sz w:val="14"/>
                      </w:rPr>
                      <w:t> </w:t>
                    </w:r>
                    <w:r>
                      <w:rPr>
                        <w:rFonts w:ascii="Arial" w:hAnsi="Arial"/>
                        <w:color w:val="231F20"/>
                        <w:sz w:val="14"/>
                      </w:rPr>
                      <w:t>of</w:t>
                    </w:r>
                    <w:r>
                      <w:rPr>
                        <w:rFonts w:ascii="Arial" w:hAnsi="Arial"/>
                        <w:color w:val="231F20"/>
                        <w:spacing w:val="-10"/>
                        <w:sz w:val="14"/>
                      </w:rPr>
                      <w:t> </w:t>
                    </w:r>
                    <w:r>
                      <w:rPr>
                        <w:rFonts w:ascii="Arial" w:hAnsi="Arial"/>
                        <w:color w:val="231F20"/>
                        <w:sz w:val="14"/>
                      </w:rPr>
                      <w:t>the</w:t>
                    </w:r>
                    <w:r>
                      <w:rPr>
                        <w:rFonts w:ascii="Arial" w:hAnsi="Arial"/>
                        <w:color w:val="231F20"/>
                        <w:spacing w:val="-10"/>
                        <w:sz w:val="14"/>
                      </w:rPr>
                      <w:t> </w:t>
                    </w:r>
                    <w:r>
                      <w:rPr>
                        <w:rFonts w:ascii="Arial" w:hAnsi="Arial"/>
                        <w:color w:val="231F20"/>
                        <w:spacing w:val="-3"/>
                        <w:sz w:val="14"/>
                      </w:rPr>
                      <w:t>body.</w:t>
                    </w:r>
                    <w:r>
                      <w:rPr>
                        <w:rFonts w:ascii="Arial" w:hAnsi="Arial"/>
                        <w:color w:val="231F20"/>
                        <w:spacing w:val="-10"/>
                        <w:sz w:val="14"/>
                      </w:rPr>
                      <w:t> </w:t>
                    </w:r>
                    <w:r>
                      <w:rPr>
                        <w:rFonts w:ascii="Arial" w:hAnsi="Arial"/>
                        <w:color w:val="231F20"/>
                        <w:sz w:val="14"/>
                      </w:rPr>
                      <w:t>(B)</w:t>
                    </w:r>
                    <w:r>
                      <w:rPr>
                        <w:rFonts w:ascii="Arial" w:hAnsi="Arial"/>
                        <w:color w:val="231F20"/>
                        <w:spacing w:val="-10"/>
                        <w:sz w:val="14"/>
                      </w:rPr>
                      <w:t> </w:t>
                    </w:r>
                    <w:r>
                      <w:rPr>
                        <w:rFonts w:ascii="Arial" w:hAnsi="Arial"/>
                        <w:color w:val="231F20"/>
                        <w:sz w:val="14"/>
                      </w:rPr>
                      <w:t>aVNS</w:t>
                    </w:r>
                    <w:r>
                      <w:rPr>
                        <w:rFonts w:ascii="Arial" w:hAnsi="Arial"/>
                        <w:color w:val="231F20"/>
                        <w:spacing w:val="-10"/>
                        <w:sz w:val="14"/>
                      </w:rPr>
                      <w:t> </w:t>
                    </w:r>
                    <w:r>
                      <w:rPr>
                        <w:rFonts w:ascii="Arial" w:hAnsi="Arial"/>
                        <w:color w:val="231F20"/>
                        <w:sz w:val="14"/>
                      </w:rPr>
                      <w:t>of</w:t>
                    </w:r>
                    <w:r>
                      <w:rPr>
                        <w:rFonts w:ascii="Arial" w:hAnsi="Arial"/>
                        <w:color w:val="231F20"/>
                        <w:spacing w:val="-10"/>
                        <w:sz w:val="14"/>
                      </w:rPr>
                      <w:t> </w:t>
                    </w:r>
                    <w:r>
                      <w:rPr>
                        <w:rFonts w:ascii="Arial" w:hAnsi="Arial"/>
                        <w:color w:val="231F20"/>
                        <w:sz w:val="14"/>
                      </w:rPr>
                      <w:t>the</w:t>
                    </w:r>
                    <w:r>
                      <w:rPr>
                        <w:rFonts w:ascii="Arial" w:hAnsi="Arial"/>
                        <w:color w:val="231F20"/>
                        <w:spacing w:val="-11"/>
                        <w:sz w:val="14"/>
                      </w:rPr>
                      <w:t> </w:t>
                    </w:r>
                    <w:r>
                      <w:rPr>
                        <w:rFonts w:ascii="Arial" w:hAnsi="Arial"/>
                        <w:color w:val="231F20"/>
                        <w:sz w:val="14"/>
                      </w:rPr>
                      <w:t>afferent</w:t>
                    </w:r>
                    <w:r>
                      <w:rPr>
                        <w:rFonts w:ascii="Arial" w:hAnsi="Arial"/>
                        <w:color w:val="231F20"/>
                        <w:spacing w:val="-10"/>
                        <w:sz w:val="14"/>
                      </w:rPr>
                      <w:t> </w:t>
                    </w:r>
                    <w:r>
                      <w:rPr>
                        <w:rFonts w:ascii="Arial" w:hAnsi="Arial"/>
                        <w:color w:val="231F20"/>
                        <w:sz w:val="14"/>
                      </w:rPr>
                      <w:t>VN</w:t>
                    </w:r>
                    <w:r>
                      <w:rPr>
                        <w:rFonts w:ascii="Arial" w:hAnsi="Arial"/>
                        <w:color w:val="231F20"/>
                        <w:spacing w:val="-10"/>
                        <w:sz w:val="14"/>
                      </w:rPr>
                      <w:t> </w:t>
                    </w:r>
                    <w:r>
                      <w:rPr>
                        <w:rFonts w:ascii="Arial" w:hAnsi="Arial"/>
                        <w:color w:val="231F20"/>
                        <w:sz w:val="14"/>
                      </w:rPr>
                      <w:t>modulates</w:t>
                    </w:r>
                    <w:r>
                      <w:rPr>
                        <w:rFonts w:ascii="Arial" w:hAnsi="Arial"/>
                        <w:color w:val="231F20"/>
                        <w:spacing w:val="-10"/>
                        <w:sz w:val="14"/>
                      </w:rPr>
                      <w:t> </w:t>
                    </w:r>
                    <w:r>
                      <w:rPr>
                        <w:rFonts w:ascii="Arial" w:hAnsi="Arial"/>
                        <w:color w:val="231F20"/>
                        <w:sz w:val="14"/>
                      </w:rPr>
                      <w:t>activity</w:t>
                    </w:r>
                    <w:r>
                      <w:rPr>
                        <w:rFonts w:ascii="Arial" w:hAnsi="Arial"/>
                        <w:color w:val="231F20"/>
                        <w:spacing w:val="-10"/>
                        <w:sz w:val="14"/>
                      </w:rPr>
                      <w:t> </w:t>
                    </w:r>
                    <w:r>
                      <w:rPr>
                        <w:rFonts w:ascii="Arial" w:hAnsi="Arial"/>
                        <w:color w:val="231F20"/>
                        <w:sz w:val="14"/>
                      </w:rPr>
                      <w:t>of</w:t>
                    </w:r>
                    <w:r>
                      <w:rPr>
                        <w:rFonts w:ascii="Arial" w:hAnsi="Arial"/>
                        <w:color w:val="231F20"/>
                        <w:spacing w:val="-10"/>
                        <w:sz w:val="14"/>
                      </w:rPr>
                      <w:t> </w:t>
                    </w:r>
                    <w:r>
                      <w:rPr>
                        <w:rFonts w:ascii="Arial" w:hAnsi="Arial"/>
                        <w:color w:val="231F20"/>
                        <w:sz w:val="14"/>
                      </w:rPr>
                      <w:t>the</w:t>
                    </w:r>
                    <w:r>
                      <w:rPr>
                        <w:rFonts w:ascii="Arial" w:hAnsi="Arial"/>
                        <w:color w:val="231F20"/>
                        <w:spacing w:val="-10"/>
                        <w:sz w:val="14"/>
                      </w:rPr>
                      <w:t> </w:t>
                    </w:r>
                    <w:r>
                      <w:rPr>
                        <w:rFonts w:ascii="Arial" w:hAnsi="Arial"/>
                        <w:color w:val="231F20"/>
                        <w:sz w:val="14"/>
                      </w:rPr>
                      <w:t>efferent</w:t>
                    </w:r>
                    <w:r>
                      <w:rPr>
                        <w:rFonts w:ascii="Arial" w:hAnsi="Arial"/>
                        <w:color w:val="231F20"/>
                        <w:spacing w:val="-10"/>
                        <w:sz w:val="14"/>
                      </w:rPr>
                      <w:t> </w:t>
                    </w:r>
                    <w:r>
                      <w:rPr>
                        <w:rFonts w:ascii="Arial" w:hAnsi="Arial"/>
                        <w:color w:val="231F20"/>
                        <w:sz w:val="14"/>
                      </w:rPr>
                      <w:t>VN</w:t>
                    </w:r>
                    <w:r>
                      <w:rPr>
                        <w:rFonts w:ascii="Arial" w:hAnsi="Arial"/>
                        <w:color w:val="231F20"/>
                        <w:spacing w:val="-10"/>
                        <w:sz w:val="14"/>
                      </w:rPr>
                      <w:t> </w:t>
                    </w:r>
                    <w:r>
                      <w:rPr>
                        <w:rFonts w:ascii="Arial" w:hAnsi="Arial"/>
                        <w:color w:val="231F20"/>
                        <w:sz w:val="14"/>
                      </w:rPr>
                      <w:t>outflow</w:t>
                    </w:r>
                    <w:r>
                      <w:rPr>
                        <w:rFonts w:ascii="Arial" w:hAnsi="Arial"/>
                        <w:color w:val="231F20"/>
                        <w:spacing w:val="-10"/>
                        <w:sz w:val="14"/>
                      </w:rPr>
                      <w:t> </w:t>
                    </w:r>
                    <w:r>
                      <w:rPr>
                        <w:rFonts w:ascii="Arial" w:hAnsi="Arial"/>
                        <w:color w:val="231F20"/>
                        <w:sz w:val="14"/>
                      </w:rPr>
                      <w:t>to</w:t>
                    </w:r>
                    <w:r>
                      <w:rPr>
                        <w:rFonts w:ascii="Arial" w:hAnsi="Arial"/>
                        <w:color w:val="231F20"/>
                        <w:spacing w:val="-11"/>
                        <w:sz w:val="14"/>
                      </w:rPr>
                      <w:t> </w:t>
                    </w:r>
                    <w:r>
                      <w:rPr>
                        <w:rFonts w:ascii="Arial" w:hAnsi="Arial"/>
                        <w:color w:val="231F20"/>
                        <w:sz w:val="14"/>
                      </w:rPr>
                      <w:t>the</w:t>
                    </w:r>
                    <w:r>
                      <w:rPr>
                        <w:rFonts w:ascii="Arial" w:hAnsi="Arial"/>
                        <w:color w:val="231F20"/>
                        <w:spacing w:val="-10"/>
                        <w:sz w:val="14"/>
                      </w:rPr>
                      <w:t> </w:t>
                    </w:r>
                    <w:r>
                      <w:rPr>
                        <w:rFonts w:ascii="Arial" w:hAnsi="Arial"/>
                        <w:color w:val="231F20"/>
                        <w:sz w:val="14"/>
                      </w:rPr>
                      <w:t>heart,</w:t>
                    </w:r>
                    <w:r>
                      <w:rPr>
                        <w:rFonts w:ascii="Arial" w:hAnsi="Arial"/>
                        <w:color w:val="231F20"/>
                        <w:spacing w:val="-10"/>
                        <w:sz w:val="14"/>
                      </w:rPr>
                      <w:t> </w:t>
                    </w:r>
                    <w:r>
                      <w:rPr>
                        <w:rFonts w:ascii="Arial" w:hAnsi="Arial"/>
                        <w:color w:val="231F20"/>
                        <w:sz w:val="14"/>
                      </w:rPr>
                      <w:t>whereas</w:t>
                    </w:r>
                    <w:r>
                      <w:rPr>
                        <w:rFonts w:ascii="Arial" w:hAnsi="Arial"/>
                        <w:color w:val="231F20"/>
                        <w:spacing w:val="-10"/>
                        <w:sz w:val="14"/>
                      </w:rPr>
                      <w:t> </w:t>
                    </w:r>
                    <w:r>
                      <w:rPr>
                        <w:rFonts w:ascii="Arial" w:hAnsi="Arial"/>
                        <w:color w:val="231F20"/>
                        <w:sz w:val="14"/>
                      </w:rPr>
                      <w:t>the</w:t>
                    </w:r>
                    <w:r>
                      <w:rPr>
                        <w:rFonts w:ascii="Arial" w:hAnsi="Arial"/>
                        <w:color w:val="231F20"/>
                        <w:spacing w:val="-10"/>
                        <w:sz w:val="14"/>
                      </w:rPr>
                      <w:t> </w:t>
                    </w:r>
                    <w:r>
                      <w:rPr>
                        <w:rFonts w:ascii="Arial" w:hAnsi="Arial"/>
                        <w:color w:val="231F20"/>
                        <w:sz w:val="14"/>
                      </w:rPr>
                      <w:t>peripheral</w:t>
                    </w:r>
                    <w:r>
                      <w:rPr>
                        <w:rFonts w:ascii="Arial" w:hAnsi="Arial"/>
                        <w:color w:val="231F20"/>
                        <w:spacing w:val="-10"/>
                        <w:sz w:val="14"/>
                      </w:rPr>
                      <w:t> </w:t>
                    </w:r>
                    <w:r>
                      <w:rPr>
                        <w:rFonts w:ascii="Arial" w:hAnsi="Arial"/>
                        <w:color w:val="231F20"/>
                        <w:sz w:val="14"/>
                      </w:rPr>
                      <w:t>pulse wave arriving from the heart can be used as biofeedback to the stimulator of aVNS. (C) Personalized and optimized setting of stimulation needles and their stimulation</w:t>
                    </w:r>
                    <w:r>
                      <w:rPr>
                        <w:rFonts w:ascii="Arial" w:hAnsi="Arial"/>
                        <w:color w:val="231F20"/>
                        <w:spacing w:val="-12"/>
                        <w:sz w:val="14"/>
                      </w:rPr>
                      <w:t> </w:t>
                    </w:r>
                    <w:r>
                      <w:rPr>
                        <w:rFonts w:ascii="Arial" w:hAnsi="Arial"/>
                        <w:color w:val="231F20"/>
                        <w:sz w:val="14"/>
                      </w:rPr>
                      <w:t>patterns</w:t>
                    </w:r>
                    <w:r>
                      <w:rPr>
                        <w:rFonts w:ascii="Arial" w:hAnsi="Arial"/>
                        <w:color w:val="231F20"/>
                        <w:spacing w:val="-12"/>
                        <w:sz w:val="14"/>
                      </w:rPr>
                      <w:t> </w:t>
                    </w:r>
                    <w:r>
                      <w:rPr>
                        <w:rFonts w:ascii="Arial" w:hAnsi="Arial"/>
                        <w:color w:val="231F20"/>
                        <w:sz w:val="14"/>
                      </w:rPr>
                      <w:t>for</w:t>
                    </w:r>
                    <w:r>
                      <w:rPr>
                        <w:rFonts w:ascii="Arial" w:hAnsi="Arial"/>
                        <w:color w:val="231F20"/>
                        <w:spacing w:val="-11"/>
                        <w:sz w:val="14"/>
                      </w:rPr>
                      <w:t> </w:t>
                    </w:r>
                    <w:r>
                      <w:rPr>
                        <w:rFonts w:ascii="Arial" w:hAnsi="Arial"/>
                        <w:color w:val="231F20"/>
                        <w:sz w:val="14"/>
                      </w:rPr>
                      <w:t>the</w:t>
                    </w:r>
                    <w:r>
                      <w:rPr>
                        <w:rFonts w:ascii="Arial" w:hAnsi="Arial"/>
                        <w:color w:val="231F20"/>
                        <w:spacing w:val="-12"/>
                        <w:sz w:val="14"/>
                      </w:rPr>
                      <w:t> </w:t>
                    </w:r>
                    <w:r>
                      <w:rPr>
                        <w:rFonts w:ascii="Arial" w:hAnsi="Arial"/>
                        <w:color w:val="231F20"/>
                        <w:sz w:val="14"/>
                      </w:rPr>
                      <w:t>percutaneous</w:t>
                    </w:r>
                    <w:r>
                      <w:rPr>
                        <w:rFonts w:ascii="Arial" w:hAnsi="Arial"/>
                        <w:color w:val="231F20"/>
                        <w:spacing w:val="-11"/>
                        <w:sz w:val="14"/>
                      </w:rPr>
                      <w:t> </w:t>
                    </w:r>
                    <w:r>
                      <w:rPr>
                        <w:rFonts w:ascii="Arial" w:hAnsi="Arial"/>
                        <w:color w:val="231F20"/>
                        <w:sz w:val="14"/>
                      </w:rPr>
                      <w:t>aVNS</w:t>
                    </w:r>
                    <w:r>
                      <w:rPr>
                        <w:rFonts w:ascii="Arial" w:hAnsi="Arial"/>
                        <w:color w:val="231F20"/>
                        <w:spacing w:val="-12"/>
                        <w:sz w:val="14"/>
                      </w:rPr>
                      <w:t> </w:t>
                    </w:r>
                    <w:r>
                      <w:rPr>
                        <w:rFonts w:ascii="Arial" w:hAnsi="Arial"/>
                        <w:color w:val="231F20"/>
                        <w:sz w:val="14"/>
                      </w:rPr>
                      <w:t>based</w:t>
                    </w:r>
                    <w:r>
                      <w:rPr>
                        <w:rFonts w:ascii="Arial" w:hAnsi="Arial"/>
                        <w:color w:val="231F20"/>
                        <w:spacing w:val="-11"/>
                        <w:sz w:val="14"/>
                      </w:rPr>
                      <w:t> </w:t>
                    </w:r>
                    <w:r>
                      <w:rPr>
                        <w:rFonts w:ascii="Arial" w:hAnsi="Arial"/>
                        <w:color w:val="231F20"/>
                        <w:sz w:val="14"/>
                      </w:rPr>
                      <w:t>on</w:t>
                    </w:r>
                    <w:r>
                      <w:rPr>
                        <w:rFonts w:ascii="Arial" w:hAnsi="Arial"/>
                        <w:color w:val="231F20"/>
                        <w:spacing w:val="-12"/>
                        <w:sz w:val="14"/>
                      </w:rPr>
                      <w:t> </w:t>
                    </w:r>
                    <w:r>
                      <w:rPr>
                        <w:rFonts w:ascii="Arial" w:hAnsi="Arial"/>
                        <w:color w:val="231F20"/>
                        <w:sz w:val="14"/>
                      </w:rPr>
                      <w:t>an</w:t>
                    </w:r>
                    <w:r>
                      <w:rPr>
                        <w:rFonts w:ascii="Arial" w:hAnsi="Arial"/>
                        <w:color w:val="231F20"/>
                        <w:spacing w:val="-11"/>
                        <w:sz w:val="14"/>
                      </w:rPr>
                      <w:t> </w:t>
                    </w:r>
                    <w:r>
                      <w:rPr>
                        <w:rFonts w:ascii="Arial" w:hAnsi="Arial"/>
                        <w:color w:val="231F20"/>
                        <w:sz w:val="14"/>
                      </w:rPr>
                      <w:t>individualized</w:t>
                    </w:r>
                    <w:r>
                      <w:rPr>
                        <w:rFonts w:ascii="Arial" w:hAnsi="Arial"/>
                        <w:color w:val="231F20"/>
                        <w:spacing w:val="-12"/>
                        <w:sz w:val="14"/>
                      </w:rPr>
                      <w:t> </w:t>
                    </w:r>
                    <w:r>
                      <w:rPr>
                        <w:rFonts w:ascii="Arial" w:hAnsi="Arial"/>
                        <w:color w:val="231F20"/>
                        <w:sz w:val="14"/>
                      </w:rPr>
                      <w:t>ear</w:t>
                    </w:r>
                    <w:r>
                      <w:rPr>
                        <w:rFonts w:ascii="Arial" w:hAnsi="Arial"/>
                        <w:color w:val="231F20"/>
                        <w:spacing w:val="-11"/>
                        <w:sz w:val="14"/>
                      </w:rPr>
                      <w:t> </w:t>
                    </w:r>
                    <w:r>
                      <w:rPr>
                        <w:rFonts w:ascii="Arial" w:hAnsi="Arial"/>
                        <w:color w:val="231F20"/>
                        <w:sz w:val="14"/>
                      </w:rPr>
                      <w:t>model</w:t>
                    </w:r>
                    <w:r>
                      <w:rPr>
                        <w:rFonts w:ascii="Arial" w:hAnsi="Arial"/>
                        <w:color w:val="231F20"/>
                        <w:spacing w:val="-12"/>
                        <w:sz w:val="14"/>
                      </w:rPr>
                      <w:t> </w:t>
                    </w:r>
                    <w:r>
                      <w:rPr>
                        <w:rFonts w:ascii="Arial" w:hAnsi="Arial"/>
                        <w:color w:val="231F20"/>
                        <w:sz w:val="14"/>
                      </w:rPr>
                      <w:t>(</w:t>
                    </w:r>
                    <w:hyperlink w:history="true" w:anchor="_bookmark4">
                      <w:r>
                        <w:rPr>
                          <w:rFonts w:ascii="Arial" w:hAnsi="Arial"/>
                          <w:color w:val="231F20"/>
                          <w:sz w:val="14"/>
                        </w:rPr>
                        <w:t>Figure</w:t>
                      </w:r>
                      <w:r>
                        <w:rPr>
                          <w:rFonts w:ascii="Arial" w:hAnsi="Arial"/>
                          <w:color w:val="231F20"/>
                          <w:spacing w:val="-12"/>
                          <w:sz w:val="14"/>
                        </w:rPr>
                        <w:t> </w:t>
                      </w:r>
                      <w:r>
                        <w:rPr>
                          <w:rFonts w:ascii="Arial" w:hAnsi="Arial"/>
                          <w:color w:val="231F20"/>
                          <w:sz w:val="14"/>
                        </w:rPr>
                        <w:t>4B</w:t>
                      </w:r>
                    </w:hyperlink>
                    <w:r>
                      <w:rPr>
                        <w:rFonts w:ascii="Arial" w:hAnsi="Arial"/>
                        <w:color w:val="231F20"/>
                        <w:sz w:val="14"/>
                      </w:rPr>
                      <w:t>)</w:t>
                    </w:r>
                    <w:r>
                      <w:rPr>
                        <w:rFonts w:ascii="Arial" w:hAnsi="Arial"/>
                        <w:color w:val="231F20"/>
                        <w:spacing w:val="-11"/>
                        <w:sz w:val="14"/>
                      </w:rPr>
                      <w:t> </w:t>
                    </w:r>
                    <w:r>
                      <w:rPr>
                        <w:rFonts w:ascii="Arial" w:hAnsi="Arial"/>
                        <w:color w:val="231F20"/>
                        <w:sz w:val="14"/>
                      </w:rPr>
                      <w:t>as</w:t>
                    </w:r>
                    <w:r>
                      <w:rPr>
                        <w:rFonts w:ascii="Arial" w:hAnsi="Arial"/>
                        <w:color w:val="231F20"/>
                        <w:spacing w:val="-12"/>
                        <w:sz w:val="14"/>
                      </w:rPr>
                      <w:t> </w:t>
                    </w:r>
                    <w:r>
                      <w:rPr>
                        <w:rFonts w:ascii="Arial" w:hAnsi="Arial"/>
                        <w:color w:val="231F20"/>
                        <w:sz w:val="14"/>
                      </w:rPr>
                      <w:t>derived</w:t>
                    </w:r>
                    <w:r>
                      <w:rPr>
                        <w:rFonts w:ascii="Arial" w:hAnsi="Arial"/>
                        <w:color w:val="231F20"/>
                        <w:spacing w:val="-11"/>
                        <w:sz w:val="14"/>
                      </w:rPr>
                      <w:t> </w:t>
                    </w:r>
                    <w:r>
                      <w:rPr>
                        <w:rFonts w:ascii="Arial" w:hAnsi="Arial"/>
                        <w:color w:val="231F20"/>
                        <w:sz w:val="14"/>
                      </w:rPr>
                      <w:t>from</w:t>
                    </w:r>
                    <w:r>
                      <w:rPr>
                        <w:rFonts w:ascii="Arial" w:hAnsi="Arial"/>
                        <w:color w:val="231F20"/>
                        <w:spacing w:val="-12"/>
                        <w:sz w:val="14"/>
                      </w:rPr>
                      <w:t> </w:t>
                    </w:r>
                    <w:r>
                      <w:rPr>
                        <w:rFonts w:ascii="Arial" w:hAnsi="Arial"/>
                        <w:color w:val="231F20"/>
                        <w:sz w:val="14"/>
                      </w:rPr>
                      <w:t>the</w:t>
                    </w:r>
                    <w:r>
                      <w:rPr>
                        <w:rFonts w:ascii="Arial" w:hAnsi="Arial"/>
                        <w:color w:val="231F20"/>
                        <w:spacing w:val="-11"/>
                        <w:sz w:val="14"/>
                      </w:rPr>
                      <w:t> </w:t>
                    </w:r>
                    <w:r>
                      <w:rPr>
                        <w:rFonts w:ascii="Arial" w:hAnsi="Arial"/>
                        <w:color w:val="231F20"/>
                        <w:sz w:val="14"/>
                      </w:rPr>
                      <w:t>transilluminated</w:t>
                    </w:r>
                    <w:r>
                      <w:rPr>
                        <w:rFonts w:ascii="Arial" w:hAnsi="Arial"/>
                        <w:color w:val="231F20"/>
                        <w:spacing w:val="-12"/>
                        <w:sz w:val="14"/>
                      </w:rPr>
                      <w:t> </w:t>
                    </w:r>
                    <w:r>
                      <w:rPr>
                        <w:rFonts w:ascii="Arial" w:hAnsi="Arial"/>
                        <w:color w:val="231F20"/>
                        <w:sz w:val="14"/>
                      </w:rPr>
                      <w:t>individual</w:t>
                    </w:r>
                    <w:r>
                      <w:rPr>
                        <w:rFonts w:ascii="Arial" w:hAnsi="Arial"/>
                        <w:color w:val="231F20"/>
                        <w:spacing w:val="-11"/>
                        <w:sz w:val="14"/>
                      </w:rPr>
                      <w:t> </w:t>
                    </w:r>
                    <w:r>
                      <w:rPr>
                        <w:rFonts w:ascii="Arial" w:hAnsi="Arial"/>
                        <w:color w:val="231F20"/>
                        <w:sz w:val="14"/>
                      </w:rPr>
                      <w:t>ear</w:t>
                    </w:r>
                    <w:r>
                      <w:rPr>
                        <w:rFonts w:ascii="Arial" w:hAnsi="Arial"/>
                        <w:color w:val="231F20"/>
                        <w:spacing w:val="-12"/>
                        <w:sz w:val="14"/>
                      </w:rPr>
                      <w:t> </w:t>
                    </w:r>
                    <w:r>
                      <w:rPr>
                        <w:rFonts w:ascii="Arial" w:hAnsi="Arial"/>
                        <w:color w:val="231F20"/>
                        <w:sz w:val="14"/>
                      </w:rPr>
                      <w:t>(</w:t>
                    </w:r>
                    <w:hyperlink w:history="true" w:anchor="_bookmark2">
                      <w:r>
                        <w:rPr>
                          <w:rFonts w:ascii="Arial" w:hAnsi="Arial"/>
                          <w:color w:val="231F20"/>
                          <w:sz w:val="14"/>
                        </w:rPr>
                        <w:t>Figure</w:t>
                      </w:r>
                      <w:r>
                        <w:rPr>
                          <w:rFonts w:ascii="Arial" w:hAnsi="Arial"/>
                          <w:color w:val="231F20"/>
                          <w:spacing w:val="-11"/>
                          <w:sz w:val="14"/>
                        </w:rPr>
                        <w:t> </w:t>
                      </w:r>
                      <w:r>
                        <w:rPr>
                          <w:rFonts w:ascii="Arial" w:hAnsi="Arial"/>
                          <w:color w:val="231F20"/>
                          <w:sz w:val="14"/>
                        </w:rPr>
                        <w:t>2D</w:t>
                      </w:r>
                    </w:hyperlink>
                    <w:r>
                      <w:rPr>
                        <w:rFonts w:ascii="Arial" w:hAnsi="Arial"/>
                        <w:color w:val="231F20"/>
                        <w:sz w:val="14"/>
                      </w:rPr>
                      <w:t>). Therapy-relevant</w:t>
                    </w:r>
                    <w:r>
                      <w:rPr>
                        <w:rFonts w:ascii="Arial" w:hAnsi="Arial"/>
                        <w:color w:val="231F20"/>
                        <w:spacing w:val="-14"/>
                        <w:sz w:val="14"/>
                      </w:rPr>
                      <w:t> </w:t>
                    </w:r>
                    <w:r>
                      <w:rPr>
                        <w:rFonts w:ascii="Arial" w:hAnsi="Arial"/>
                        <w:color w:val="231F20"/>
                        <w:sz w:val="14"/>
                      </w:rPr>
                      <w:t>re-optimization</w:t>
                    </w:r>
                    <w:r>
                      <w:rPr>
                        <w:rFonts w:ascii="Arial" w:hAnsi="Arial"/>
                        <w:color w:val="231F20"/>
                        <w:spacing w:val="-14"/>
                        <w:sz w:val="14"/>
                      </w:rPr>
                      <w:t> </w:t>
                    </w:r>
                    <w:r>
                      <w:rPr>
                        <w:rFonts w:ascii="Arial" w:hAnsi="Arial"/>
                        <w:color w:val="231F20"/>
                        <w:sz w:val="14"/>
                      </w:rPr>
                      <w:t>of</w:t>
                    </w:r>
                    <w:r>
                      <w:rPr>
                        <w:rFonts w:ascii="Arial" w:hAnsi="Arial"/>
                        <w:color w:val="231F20"/>
                        <w:spacing w:val="-13"/>
                        <w:sz w:val="14"/>
                      </w:rPr>
                      <w:t> </w:t>
                    </w:r>
                    <w:r>
                      <w:rPr>
                        <w:rFonts w:ascii="Arial" w:hAnsi="Arial"/>
                        <w:color w:val="231F20"/>
                        <w:sz w:val="14"/>
                      </w:rPr>
                      <w:t>the</w:t>
                    </w:r>
                    <w:r>
                      <w:rPr>
                        <w:rFonts w:ascii="Arial" w:hAnsi="Arial"/>
                        <w:color w:val="231F20"/>
                        <w:spacing w:val="-14"/>
                        <w:sz w:val="14"/>
                      </w:rPr>
                      <w:t> </w:t>
                    </w:r>
                    <w:r>
                      <w:rPr>
                        <w:rFonts w:ascii="Arial" w:hAnsi="Arial"/>
                        <w:color w:val="231F20"/>
                        <w:sz w:val="14"/>
                      </w:rPr>
                      <w:t>stimulation</w:t>
                    </w:r>
                    <w:r>
                      <w:rPr>
                        <w:rFonts w:ascii="Arial" w:hAnsi="Arial"/>
                        <w:color w:val="231F20"/>
                        <w:spacing w:val="-14"/>
                        <w:sz w:val="14"/>
                      </w:rPr>
                      <w:t> </w:t>
                    </w:r>
                    <w:r>
                      <w:rPr>
                        <w:rFonts w:ascii="Arial" w:hAnsi="Arial"/>
                        <w:color w:val="231F20"/>
                        <w:sz w:val="14"/>
                      </w:rPr>
                      <w:t>patterns</w:t>
                    </w:r>
                    <w:r>
                      <w:rPr>
                        <w:rFonts w:ascii="Arial" w:hAnsi="Arial"/>
                        <w:color w:val="231F20"/>
                        <w:spacing w:val="-13"/>
                        <w:sz w:val="14"/>
                      </w:rPr>
                      <w:t> </w:t>
                    </w:r>
                    <w:r>
                      <w:rPr>
                        <w:rFonts w:ascii="Arial" w:hAnsi="Arial"/>
                        <w:color w:val="231F20"/>
                        <w:sz w:val="14"/>
                      </w:rPr>
                      <w:t>results</w:t>
                    </w:r>
                    <w:r>
                      <w:rPr>
                        <w:rFonts w:ascii="Arial" w:hAnsi="Arial"/>
                        <w:color w:val="231F20"/>
                        <w:spacing w:val="-14"/>
                        <w:sz w:val="14"/>
                      </w:rPr>
                      <w:t> </w:t>
                    </w:r>
                    <w:r>
                      <w:rPr>
                        <w:rFonts w:ascii="Arial" w:hAnsi="Arial"/>
                        <w:color w:val="231F20"/>
                        <w:sz w:val="14"/>
                      </w:rPr>
                      <w:t>when</w:t>
                    </w:r>
                    <w:r>
                      <w:rPr>
                        <w:rFonts w:ascii="Arial" w:hAnsi="Arial"/>
                        <w:color w:val="231F20"/>
                        <w:spacing w:val="-14"/>
                        <w:sz w:val="14"/>
                      </w:rPr>
                      <w:t> </w:t>
                    </w:r>
                    <w:r>
                      <w:rPr>
                        <w:rFonts w:ascii="Arial" w:hAnsi="Arial"/>
                        <w:color w:val="231F20"/>
                        <w:sz w:val="14"/>
                      </w:rPr>
                      <w:t>the</w:t>
                    </w:r>
                    <w:r>
                      <w:rPr>
                        <w:rFonts w:ascii="Arial" w:hAnsi="Arial"/>
                        <w:color w:val="231F20"/>
                        <w:spacing w:val="-13"/>
                        <w:sz w:val="14"/>
                      </w:rPr>
                      <w:t> </w:t>
                    </w:r>
                    <w:r>
                      <w:rPr>
                        <w:rFonts w:ascii="Arial" w:hAnsi="Arial"/>
                        <w:color w:val="231F20"/>
                        <w:sz w:val="14"/>
                      </w:rPr>
                      <w:t>closed-loop</w:t>
                    </w:r>
                    <w:r>
                      <w:rPr>
                        <w:rFonts w:ascii="Arial" w:hAnsi="Arial"/>
                        <w:color w:val="231F20"/>
                        <w:spacing w:val="-14"/>
                        <w:sz w:val="14"/>
                      </w:rPr>
                      <w:t> </w:t>
                    </w:r>
                    <w:r>
                      <w:rPr>
                        <w:rFonts w:ascii="Arial" w:hAnsi="Arial"/>
                        <w:color w:val="231F20"/>
                        <w:sz w:val="14"/>
                      </w:rPr>
                      <w:t>aVNS</w:t>
                    </w:r>
                    <w:r>
                      <w:rPr>
                        <w:rFonts w:ascii="Arial" w:hAnsi="Arial"/>
                        <w:color w:val="231F20"/>
                        <w:spacing w:val="-14"/>
                        <w:sz w:val="14"/>
                      </w:rPr>
                      <w:t> </w:t>
                    </w:r>
                    <w:r>
                      <w:rPr>
                        <w:rFonts w:ascii="Arial" w:hAnsi="Arial"/>
                        <w:color w:val="231F20"/>
                        <w:sz w:val="14"/>
                      </w:rPr>
                      <w:t>from</w:t>
                    </w:r>
                    <w:r>
                      <w:rPr>
                        <w:rFonts w:ascii="Arial" w:hAnsi="Arial"/>
                        <w:color w:val="231F20"/>
                        <w:spacing w:val="-13"/>
                        <w:sz w:val="14"/>
                      </w:rPr>
                      <w:t> </w:t>
                    </w:r>
                    <w:r>
                      <w:rPr>
                        <w:rFonts w:ascii="Arial" w:hAnsi="Arial"/>
                        <w:color w:val="231F20"/>
                        <w:sz w:val="14"/>
                      </w:rPr>
                      <w:t>the</w:t>
                    </w:r>
                    <w:r>
                      <w:rPr>
                        <w:rFonts w:ascii="Arial" w:hAnsi="Arial"/>
                        <w:color w:val="231F20"/>
                        <w:spacing w:val="-14"/>
                        <w:sz w:val="14"/>
                      </w:rPr>
                      <w:t> </w:t>
                    </w:r>
                    <w:r>
                      <w:rPr>
                        <w:rFonts w:ascii="Arial" w:hAnsi="Arial"/>
                        <w:color w:val="231F20"/>
                        <w:sz w:val="14"/>
                      </w:rPr>
                      <w:t>panels</w:t>
                    </w:r>
                    <w:r>
                      <w:rPr>
                        <w:rFonts w:ascii="Arial" w:hAnsi="Arial"/>
                        <w:color w:val="231F20"/>
                        <w:spacing w:val="-14"/>
                        <w:sz w:val="14"/>
                      </w:rPr>
                      <w:t> </w:t>
                    </w:r>
                    <w:r>
                      <w:rPr>
                        <w:rFonts w:ascii="Arial" w:hAnsi="Arial"/>
                        <w:color w:val="231F20"/>
                        <w:sz w:val="14"/>
                      </w:rPr>
                      <w:t>(A,B)</w:t>
                    </w:r>
                    <w:r>
                      <w:rPr>
                        <w:rFonts w:ascii="Arial" w:hAnsi="Arial"/>
                        <w:color w:val="231F20"/>
                        <w:spacing w:val="-13"/>
                        <w:sz w:val="14"/>
                      </w:rPr>
                      <w:t> </w:t>
                    </w:r>
                    <w:r>
                      <w:rPr>
                        <w:rFonts w:ascii="Arial" w:hAnsi="Arial"/>
                        <w:color w:val="231F20"/>
                        <w:sz w:val="14"/>
                      </w:rPr>
                      <w:t>operates.</w:t>
                    </w:r>
                    <w:r>
                      <w:rPr>
                        <w:rFonts w:ascii="Arial" w:hAnsi="Arial"/>
                        <w:color w:val="231F20"/>
                        <w:spacing w:val="-14"/>
                        <w:sz w:val="14"/>
                      </w:rPr>
                      <w:t> </w:t>
                    </w:r>
                    <w:r>
                      <w:rPr>
                        <w:rFonts w:ascii="Arial" w:hAnsi="Arial"/>
                        <w:color w:val="231F20"/>
                        <w:sz w:val="14"/>
                      </w:rPr>
                      <w:t>Here</w:t>
                    </w:r>
                    <w:r>
                      <w:rPr>
                        <w:rFonts w:ascii="Arial" w:hAnsi="Arial"/>
                        <w:color w:val="231F20"/>
                        <w:spacing w:val="-14"/>
                        <w:sz w:val="14"/>
                      </w:rPr>
                      <w:t> </w:t>
                    </w:r>
                    <w:r>
                      <w:rPr>
                        <w:rFonts w:ascii="Arial" w:hAnsi="Arial"/>
                        <w:color w:val="231F20"/>
                        <w:sz w:val="14"/>
                      </w:rPr>
                      <w:t>the</w:t>
                    </w:r>
                    <w:r>
                      <w:rPr>
                        <w:rFonts w:ascii="Arial" w:hAnsi="Arial"/>
                        <w:color w:val="231F20"/>
                        <w:spacing w:val="-13"/>
                        <w:sz w:val="14"/>
                      </w:rPr>
                      <w:t> </w:t>
                    </w:r>
                    <w:r>
                      <w:rPr>
                        <w:rFonts w:ascii="Arial" w:hAnsi="Arial"/>
                        <w:color w:val="231F20"/>
                        <w:sz w:val="14"/>
                      </w:rPr>
                      <w:t>level</w:t>
                    </w:r>
                    <w:r>
                      <w:rPr>
                        <w:rFonts w:ascii="Arial" w:hAnsi="Arial"/>
                        <w:color w:val="231F20"/>
                        <w:spacing w:val="-14"/>
                        <w:sz w:val="14"/>
                      </w:rPr>
                      <w:t> </w:t>
                    </w:r>
                    <w:r>
                      <w:rPr>
                        <w:rFonts w:ascii="Arial" w:hAnsi="Arial"/>
                        <w:color w:val="231F20"/>
                        <w:sz w:val="14"/>
                      </w:rPr>
                      <w:t>of</w:t>
                    </w:r>
                    <w:r>
                      <w:rPr>
                        <w:rFonts w:ascii="Arial" w:hAnsi="Arial"/>
                        <w:color w:val="231F20"/>
                        <w:spacing w:val="-13"/>
                        <w:sz w:val="14"/>
                      </w:rPr>
                      <w:t> </w:t>
                    </w:r>
                    <w:r>
                      <w:rPr>
                        <w:rFonts w:ascii="Arial" w:hAnsi="Arial"/>
                        <w:color w:val="231F20"/>
                        <w:sz w:val="14"/>
                      </w:rPr>
                      <w:t>the</w:t>
                    </w:r>
                    <w:r>
                      <w:rPr>
                        <w:rFonts w:ascii="Arial" w:hAnsi="Arial"/>
                        <w:color w:val="231F20"/>
                        <w:spacing w:val="-14"/>
                        <w:sz w:val="14"/>
                      </w:rPr>
                      <w:t> </w:t>
                    </w:r>
                    <w:r>
                      <w:rPr>
                        <w:rFonts w:ascii="Arial" w:hAnsi="Arial"/>
                        <w:color w:val="231F20"/>
                        <w:spacing w:val="-3"/>
                        <w:sz w:val="14"/>
                      </w:rPr>
                      <w:t>circle’s</w:t>
                    </w:r>
                    <w:r>
                      <w:rPr>
                        <w:rFonts w:ascii="Arial" w:hAnsi="Arial"/>
                        <w:color w:val="231F20"/>
                        <w:spacing w:val="-14"/>
                        <w:sz w:val="14"/>
                      </w:rPr>
                      <w:t> </w:t>
                    </w:r>
                    <w:r>
                      <w:rPr>
                        <w:rFonts w:ascii="Arial" w:hAnsi="Arial"/>
                        <w:color w:val="231F20"/>
                        <w:sz w:val="14"/>
                      </w:rPr>
                      <w:t>filling</w:t>
                    </w:r>
                    <w:r>
                      <w:rPr>
                        <w:rFonts w:ascii="Arial" w:hAnsi="Arial"/>
                        <w:color w:val="231F20"/>
                        <w:spacing w:val="-13"/>
                        <w:sz w:val="14"/>
                      </w:rPr>
                      <w:t> </w:t>
                    </w:r>
                    <w:r>
                      <w:rPr>
                        <w:rFonts w:ascii="Arial" w:hAnsi="Arial"/>
                        <w:color w:val="231F20"/>
                        <w:spacing w:val="-7"/>
                        <w:sz w:val="14"/>
                      </w:rPr>
                      <w:t>at </w:t>
                    </w:r>
                    <w:r>
                      <w:rPr>
                        <w:rFonts w:ascii="Arial" w:hAnsi="Arial"/>
                        <w:color w:val="231F20"/>
                        <w:sz w:val="14"/>
                      </w:rPr>
                      <w:t>each</w:t>
                    </w:r>
                    <w:r>
                      <w:rPr>
                        <w:rFonts w:ascii="Arial" w:hAnsi="Arial"/>
                        <w:color w:val="231F20"/>
                        <w:spacing w:val="-3"/>
                        <w:sz w:val="14"/>
                      </w:rPr>
                      <w:t> </w:t>
                    </w:r>
                    <w:r>
                      <w:rPr>
                        <w:rFonts w:ascii="Arial" w:hAnsi="Arial"/>
                        <w:color w:val="231F20"/>
                        <w:sz w:val="14"/>
                      </w:rPr>
                      <w:t>electrode</w:t>
                    </w:r>
                    <w:r>
                      <w:rPr>
                        <w:rFonts w:ascii="Arial" w:hAnsi="Arial"/>
                        <w:color w:val="231F20"/>
                        <w:spacing w:val="-2"/>
                        <w:sz w:val="14"/>
                      </w:rPr>
                      <w:t> </w:t>
                    </w:r>
                    <w:r>
                      <w:rPr>
                        <w:rFonts w:ascii="Arial" w:hAnsi="Arial"/>
                        <w:color w:val="231F20"/>
                        <w:sz w:val="14"/>
                      </w:rPr>
                      <w:t>position</w:t>
                    </w:r>
                    <w:r>
                      <w:rPr>
                        <w:rFonts w:ascii="Arial" w:hAnsi="Arial"/>
                        <w:color w:val="231F20"/>
                        <w:spacing w:val="-2"/>
                        <w:sz w:val="14"/>
                      </w:rPr>
                      <w:t> </w:t>
                    </w:r>
                    <w:r>
                      <w:rPr>
                        <w:rFonts w:ascii="Arial" w:hAnsi="Arial"/>
                        <w:color w:val="231F20"/>
                        <w:sz w:val="14"/>
                      </w:rPr>
                      <w:t>indicates</w:t>
                    </w:r>
                    <w:r>
                      <w:rPr>
                        <w:rFonts w:ascii="Arial" w:hAnsi="Arial"/>
                        <w:color w:val="231F20"/>
                        <w:spacing w:val="-2"/>
                        <w:sz w:val="14"/>
                      </w:rPr>
                      <w:t> </w:t>
                    </w:r>
                    <w:r>
                      <w:rPr>
                        <w:rFonts w:ascii="Arial" w:hAnsi="Arial"/>
                        <w:color w:val="231F20"/>
                        <w:sz w:val="14"/>
                      </w:rPr>
                      <w:t>the</w:t>
                    </w:r>
                    <w:r>
                      <w:rPr>
                        <w:rFonts w:ascii="Arial" w:hAnsi="Arial"/>
                        <w:color w:val="231F20"/>
                        <w:spacing w:val="-2"/>
                        <w:sz w:val="14"/>
                      </w:rPr>
                      <w:t> </w:t>
                    </w:r>
                    <w:r>
                      <w:rPr>
                        <w:rFonts w:ascii="Arial" w:hAnsi="Arial"/>
                        <w:color w:val="231F20"/>
                        <w:sz w:val="14"/>
                      </w:rPr>
                      <w:t>local</w:t>
                    </w:r>
                    <w:r>
                      <w:rPr>
                        <w:rFonts w:ascii="Arial" w:hAnsi="Arial"/>
                        <w:color w:val="231F20"/>
                        <w:spacing w:val="-2"/>
                        <w:sz w:val="14"/>
                      </w:rPr>
                      <w:t> </w:t>
                    </w:r>
                    <w:r>
                      <w:rPr>
                        <w:rFonts w:ascii="Arial" w:hAnsi="Arial"/>
                        <w:color w:val="231F20"/>
                        <w:sz w:val="14"/>
                      </w:rPr>
                      <w:t>stimulation</w:t>
                    </w:r>
                    <w:r>
                      <w:rPr>
                        <w:rFonts w:ascii="Arial" w:hAnsi="Arial"/>
                        <w:color w:val="231F20"/>
                        <w:spacing w:val="-2"/>
                        <w:sz w:val="14"/>
                      </w:rPr>
                      <w:t> </w:t>
                    </w:r>
                    <w:r>
                      <w:rPr>
                        <w:rFonts w:ascii="Arial" w:hAnsi="Arial"/>
                        <w:color w:val="231F20"/>
                        <w:sz w:val="14"/>
                      </w:rPr>
                      <w:t>strength</w:t>
                    </w:r>
                    <w:r>
                      <w:rPr>
                        <w:rFonts w:ascii="Arial" w:hAnsi="Arial"/>
                        <w:color w:val="231F20"/>
                        <w:spacing w:val="-2"/>
                        <w:sz w:val="14"/>
                      </w:rPr>
                      <w:t> </w:t>
                    </w:r>
                    <w:r>
                      <w:rPr>
                        <w:rFonts w:ascii="Arial" w:hAnsi="Arial"/>
                        <w:color w:val="231F20"/>
                        <w:sz w:val="14"/>
                      </w:rPr>
                      <w:t>which</w:t>
                    </w:r>
                    <w:r>
                      <w:rPr>
                        <w:rFonts w:ascii="Arial" w:hAnsi="Arial"/>
                        <w:color w:val="231F20"/>
                        <w:spacing w:val="-3"/>
                        <w:sz w:val="14"/>
                      </w:rPr>
                      <w:t> </w:t>
                    </w:r>
                    <w:r>
                      <w:rPr>
                        <w:rFonts w:ascii="Arial" w:hAnsi="Arial"/>
                        <w:color w:val="231F20"/>
                        <w:sz w:val="14"/>
                      </w:rPr>
                      <w:t>changes</w:t>
                    </w:r>
                    <w:r>
                      <w:rPr>
                        <w:rFonts w:ascii="Arial" w:hAnsi="Arial"/>
                        <w:color w:val="231F20"/>
                        <w:spacing w:val="-2"/>
                        <w:sz w:val="14"/>
                      </w:rPr>
                      <w:t> </w:t>
                    </w:r>
                    <w:r>
                      <w:rPr>
                        <w:rFonts w:ascii="Arial" w:hAnsi="Arial"/>
                        <w:color w:val="231F20"/>
                        <w:sz w:val="14"/>
                      </w:rPr>
                      <w:t>in</w:t>
                    </w:r>
                    <w:r>
                      <w:rPr>
                        <w:rFonts w:ascii="Arial" w:hAnsi="Arial"/>
                        <w:color w:val="231F20"/>
                        <w:spacing w:val="-2"/>
                        <w:sz w:val="14"/>
                      </w:rPr>
                      <w:t> </w:t>
                    </w:r>
                    <w:r>
                      <w:rPr>
                        <w:rFonts w:ascii="Arial" w:hAnsi="Arial"/>
                        <w:color w:val="231F20"/>
                        <w:sz w:val="14"/>
                      </w:rPr>
                      <w:t>the</w:t>
                    </w:r>
                    <w:r>
                      <w:rPr>
                        <w:rFonts w:ascii="Arial" w:hAnsi="Arial"/>
                        <w:color w:val="231F20"/>
                        <w:spacing w:val="-2"/>
                        <w:sz w:val="14"/>
                      </w:rPr>
                      <w:t> </w:t>
                    </w:r>
                    <w:r>
                      <w:rPr>
                        <w:rFonts w:ascii="Arial" w:hAnsi="Arial"/>
                        <w:color w:val="231F20"/>
                        <w:sz w:val="14"/>
                      </w:rPr>
                      <w:t>course</w:t>
                    </w:r>
                    <w:r>
                      <w:rPr>
                        <w:rFonts w:ascii="Arial" w:hAnsi="Arial"/>
                        <w:color w:val="231F20"/>
                        <w:spacing w:val="-2"/>
                        <w:sz w:val="14"/>
                      </w:rPr>
                      <w:t> </w:t>
                    </w:r>
                    <w:r>
                      <w:rPr>
                        <w:rFonts w:ascii="Arial" w:hAnsi="Arial"/>
                        <w:color w:val="231F20"/>
                        <w:sz w:val="14"/>
                      </w:rPr>
                      <w:t>of</w:t>
                    </w:r>
                    <w:r>
                      <w:rPr>
                        <w:rFonts w:ascii="Arial" w:hAnsi="Arial"/>
                        <w:color w:val="231F20"/>
                        <w:spacing w:val="-2"/>
                        <w:sz w:val="14"/>
                      </w:rPr>
                      <w:t> </w:t>
                    </w:r>
                    <w:r>
                      <w:rPr>
                        <w:rFonts w:ascii="Arial" w:hAnsi="Arial"/>
                        <w:color w:val="231F20"/>
                        <w:sz w:val="14"/>
                      </w:rPr>
                      <w:t>the</w:t>
                    </w:r>
                    <w:r>
                      <w:rPr>
                        <w:rFonts w:ascii="Arial" w:hAnsi="Arial"/>
                        <w:color w:val="231F20"/>
                        <w:spacing w:val="-2"/>
                        <w:sz w:val="14"/>
                      </w:rPr>
                      <w:t> </w:t>
                    </w:r>
                    <w:r>
                      <w:rPr>
                        <w:rFonts w:ascii="Arial" w:hAnsi="Arial"/>
                        <w:color w:val="231F20"/>
                        <w:sz w:val="14"/>
                      </w:rPr>
                      <w:t>closed-loop</w:t>
                    </w:r>
                    <w:r>
                      <w:rPr>
                        <w:rFonts w:ascii="Arial" w:hAnsi="Arial"/>
                        <w:color w:val="231F20"/>
                        <w:spacing w:val="-2"/>
                        <w:sz w:val="14"/>
                      </w:rPr>
                      <w:t> </w:t>
                    </w:r>
                    <w:r>
                      <w:rPr>
                        <w:rFonts w:ascii="Arial" w:hAnsi="Arial"/>
                        <w:color w:val="231F20"/>
                        <w:sz w:val="14"/>
                      </w:rPr>
                      <w:t>control.</w:t>
                    </w:r>
                  </w:p>
                </w:txbxContent>
              </v:textbox>
              <v:stroke dashstyle="solid"/>
              <w10:wrap type="none"/>
            </v:shape>
          </v:group>
        </w:pict>
      </w:r>
      <w:r>
        <w:rPr>
          <w:sz w:val="20"/>
        </w:rPr>
      </w:r>
    </w:p>
    <w:p>
      <w:pPr>
        <w:pStyle w:val="BodyText"/>
        <w:spacing w:before="13"/>
        <w:ind w:left="0"/>
        <w:rPr>
          <w:sz w:val="10"/>
        </w:rPr>
      </w:pPr>
    </w:p>
    <w:p>
      <w:pPr>
        <w:spacing w:after="0"/>
        <w:rPr>
          <w:sz w:val="10"/>
        </w:rPr>
        <w:sectPr>
          <w:pgSz w:w="11910" w:h="15600"/>
          <w:pgMar w:header="560" w:footer="588" w:top="840" w:bottom="780" w:left="740" w:right="740"/>
        </w:sectPr>
      </w:pPr>
    </w:p>
    <w:p>
      <w:pPr>
        <w:pStyle w:val="BodyText"/>
        <w:spacing w:line="213" w:lineRule="auto" w:before="107"/>
      </w:pPr>
      <w:r>
        <w:rPr>
          <w:color w:val="231F20"/>
        </w:rPr>
        <w:t>stimulation frequency was controlled in order to select the right fiber type to be stimulated.</w:t>
      </w:r>
    </w:p>
    <w:p>
      <w:pPr>
        <w:pStyle w:val="BodyText"/>
        <w:spacing w:line="213" w:lineRule="auto" w:before="2"/>
        <w:ind w:firstLine="229"/>
        <w:jc w:val="both"/>
      </w:pPr>
      <w:r>
        <w:rPr>
          <w:color w:val="231F20"/>
        </w:rPr>
        <w:t>Not only cardiac-gated aVNS can be realized but also respiratory-gated aVNS (</w:t>
      </w:r>
      <w:hyperlink w:history="true" w:anchor="_bookmark50">
        <w:r>
          <w:rPr>
            <w:color w:val="6D6E71"/>
          </w:rPr>
          <w:t>Kaniusas et al.</w:t>
        </w:r>
      </w:hyperlink>
      <w:r>
        <w:rPr>
          <w:color w:val="6D6E71"/>
        </w:rPr>
        <w:t>, </w:t>
      </w:r>
      <w:hyperlink w:history="true" w:anchor="_bookmark50">
        <w:r>
          <w:rPr>
            <w:color w:val="6D6E71"/>
          </w:rPr>
          <w:t>2009</w:t>
        </w:r>
      </w:hyperlink>
      <w:r>
        <w:rPr>
          <w:color w:val="231F20"/>
        </w:rPr>
        <w:t>; </w:t>
      </w:r>
      <w:hyperlink w:history="true" w:anchor="_bookmark67">
        <w:r>
          <w:rPr>
            <w:color w:val="6D6E71"/>
          </w:rPr>
          <w:t>Napadow et al.</w:t>
        </w:r>
      </w:hyperlink>
      <w:r>
        <w:rPr>
          <w:color w:val="6D6E71"/>
        </w:rPr>
        <w:t>, </w:t>
      </w:r>
      <w:hyperlink w:history="true" w:anchor="_bookmark67">
        <w:r>
          <w:rPr>
            <w:color w:val="6D6E71"/>
          </w:rPr>
          <w:t>2012</w:t>
        </w:r>
      </w:hyperlink>
      <w:r>
        <w:rPr>
          <w:color w:val="231F20"/>
        </w:rPr>
        <w:t>). The temporal stimulation sequence of aVNS can be even synchronized with and follow to inner biological rhythms of the body to increase the coherence between residual body activities and aVNS effects (</w:t>
      </w:r>
      <w:hyperlink w:history="true" w:anchor="_bookmark5">
        <w:r>
          <w:rPr>
            <w:b/>
            <w:color w:val="231F20"/>
          </w:rPr>
          <w:t>Figure 5</w:t>
        </w:r>
      </w:hyperlink>
      <w:r>
        <w:rPr>
          <w:color w:val="231F20"/>
        </w:rPr>
        <w:t>). For instance, the relevance of the proper timing of VNS was shown for the induced ischemia and the following reperfusion in a swine model, with favorable VNS effects when applied before the reperfusion but not afterward (</w:t>
      </w:r>
      <w:hyperlink w:history="true" w:anchor="_bookmark94">
        <w:r>
          <w:rPr>
            <w:color w:val="6D6E71"/>
          </w:rPr>
          <w:t>Shinlapawittayatorn et al.</w:t>
        </w:r>
      </w:hyperlink>
      <w:r>
        <w:rPr>
          <w:color w:val="6D6E71"/>
        </w:rPr>
        <w:t>, </w:t>
      </w:r>
      <w:hyperlink w:history="true" w:anchor="_bookmark94">
        <w:r>
          <w:rPr>
            <w:color w:val="6D6E71"/>
          </w:rPr>
          <w:t>2014</w:t>
        </w:r>
      </w:hyperlink>
      <w:r>
        <w:rPr>
          <w:color w:val="231F20"/>
        </w:rPr>
        <w:t>). In general, VNS should be applied early in the course of the disease event or process (</w:t>
      </w:r>
      <w:hyperlink w:history="true" w:anchor="_bookmark100">
        <w:r>
          <w:rPr>
            <w:color w:val="6D6E71"/>
          </w:rPr>
          <w:t>Stavrakis and Po</w:t>
        </w:r>
      </w:hyperlink>
      <w:r>
        <w:rPr>
          <w:color w:val="6D6E71"/>
        </w:rPr>
        <w:t>, </w:t>
      </w:r>
      <w:hyperlink w:history="true" w:anchor="_bookmark100">
        <w:r>
          <w:rPr>
            <w:color w:val="6D6E71"/>
          </w:rPr>
          <w:t>2015</w:t>
        </w:r>
      </w:hyperlink>
      <w:r>
        <w:rPr>
          <w:color w:val="231F20"/>
        </w:rPr>
        <w:t>).</w:t>
      </w:r>
    </w:p>
    <w:p>
      <w:pPr>
        <w:pStyle w:val="BodyText"/>
        <w:spacing w:line="213" w:lineRule="auto" w:before="6"/>
        <w:ind w:firstLine="229"/>
        <w:jc w:val="both"/>
      </w:pPr>
      <w:r>
        <w:rPr/>
        <w:pict>
          <v:shape style="position:absolute;margin-left:42.835449pt;margin-top:80.14959pt;width:251.05pt;height:23.6pt;mso-position-horizontal-relative:page;mso-position-vertical-relative:paragraph;z-index:3352" type="#_x0000_t202" filled="true" fillcolor="#fde164" stroked="false">
            <v:textbox inset="0,0,0,0">
              <w:txbxContent>
                <w:p>
                  <w:pPr>
                    <w:pStyle w:val="BodyText"/>
                    <w:spacing w:line="213" w:lineRule="auto" w:before="7"/>
                    <w:ind w:left="42"/>
                  </w:pPr>
                  <w:hyperlink w:history="true" w:anchor="_bookmark107">
                    <w:r>
                      <w:rPr>
                        <w:color w:val="6D6E71"/>
                      </w:rPr>
                      <w:t>2014</w:t>
                    </w:r>
                  </w:hyperlink>
                  <w:r>
                    <w:rPr>
                      <w:color w:val="231F20"/>
                    </w:rPr>
                    <w:t>), as well as global biosignals can input data into global control loops, e.g., monitoring of heart rate as a global outcome</w:t>
                  </w:r>
                </w:p>
              </w:txbxContent>
            </v:textbox>
            <v:fill opacity="26214f" type="solid"/>
            <w10:wrap type="none"/>
          </v:shape>
        </w:pict>
      </w:r>
      <w:r>
        <w:rPr/>
        <w:pict>
          <v:shape style="position:absolute;margin-left:174.923248pt;margin-top:68.692589pt;width:118.95pt;height:11.5pt;mso-position-horizontal-relative:page;mso-position-vertical-relative:paragraph;z-index:-40096" type="#_x0000_t202" filled="true" fillcolor="#fde164" stroked="false">
            <v:textbox inset="0,0,0,0">
              <w:txbxContent>
                <w:p>
                  <w:pPr>
                    <w:pStyle w:val="BodyText"/>
                    <w:spacing w:line="229" w:lineRule="exact"/>
                    <w:ind w:left="42"/>
                  </w:pPr>
                  <w:r>
                    <w:rPr>
                      <w:color w:val="231F20"/>
                    </w:rPr>
                    <w:t>stimulation site (</w:t>
                  </w:r>
                  <w:hyperlink w:history="true" w:anchor="_bookmark107">
                    <w:r>
                      <w:rPr>
                        <w:color w:val="6D6E71"/>
                      </w:rPr>
                      <w:t>Ward et al.</w:t>
                    </w:r>
                  </w:hyperlink>
                  <w:r>
                    <w:rPr>
                      <w:color w:val="6D6E71"/>
                    </w:rPr>
                    <w:t>,</w:t>
                  </w:r>
                </w:p>
              </w:txbxContent>
            </v:textbox>
            <v:fill opacity="26214f" type="solid"/>
            <w10:wrap type="none"/>
          </v:shape>
        </w:pict>
      </w:r>
      <w:r>
        <w:rPr>
          <w:color w:val="231F20"/>
        </w:rPr>
        <w:t>Proper selection and targeted processing of physiological signals as recorded by the sensor (</w:t>
      </w:r>
      <w:hyperlink w:history="true" w:anchor="_bookmark5">
        <w:r>
          <w:rPr>
            <w:b/>
            <w:color w:val="231F20"/>
          </w:rPr>
          <w:t>Figure 5</w:t>
        </w:r>
      </w:hyperlink>
      <w:r>
        <w:rPr>
          <w:color w:val="231F20"/>
        </w:rPr>
        <w:t>) is of crucial importance for the closed-loop aVNS since the feedback should contain information about features  of  physiological  </w:t>
      </w:r>
      <w:r>
        <w:rPr>
          <w:color w:val="231F20"/>
          <w:spacing w:val="-3"/>
        </w:rPr>
        <w:t>reactions </w:t>
      </w:r>
      <w:r>
        <w:rPr>
          <w:color w:val="231F20"/>
        </w:rPr>
        <w:t>in response to aVNS. Here local biosignals can be used as </w:t>
      </w:r>
      <w:r>
        <w:rPr>
          <w:color w:val="231F20"/>
          <w:spacing w:val="-4"/>
        </w:rPr>
        <w:t>the </w:t>
      </w:r>
      <w:r>
        <w:rPr>
          <w:color w:val="231F20"/>
        </w:rPr>
        <w:t>feedback within local control loops, e.g., monitoring the nerve excitation proximal to the</w:t>
      </w:r>
      <w:r>
        <w:rPr>
          <w:color w:val="231F20"/>
          <w:spacing w:val="-9"/>
        </w:rPr>
        <w:t> </w:t>
      </w:r>
      <w:r>
        <w:rPr>
          <w:color w:val="231F20"/>
        </w:rPr>
        <w:t>nerve</w:t>
      </w:r>
    </w:p>
    <w:p>
      <w:pPr>
        <w:pStyle w:val="BodyText"/>
        <w:spacing w:before="1"/>
        <w:ind w:left="0"/>
        <w:rPr>
          <w:sz w:val="34"/>
        </w:rPr>
      </w:pPr>
    </w:p>
    <w:p>
      <w:pPr>
        <w:pStyle w:val="BodyText"/>
        <w:spacing w:line="213" w:lineRule="auto"/>
        <w:ind w:firstLine="3083"/>
        <w:jc w:val="both"/>
      </w:pPr>
      <w:r>
        <w:rPr/>
        <w:pict>
          <v:shape style="position:absolute;margin-left:42.835449pt;margin-top:.324896pt;width:154.2pt;height:11.5pt;mso-position-horizontal-relative:page;mso-position-vertical-relative:paragraph;z-index:-40144" type="#_x0000_t202" filled="true" fillcolor="#fde164" stroked="false">
            <v:textbox inset="0,0,0,0">
              <w:txbxContent>
                <w:p>
                  <w:pPr>
                    <w:pStyle w:val="BodyText"/>
                    <w:spacing w:line="229" w:lineRule="exact"/>
                    <w:ind w:left="42"/>
                  </w:pPr>
                  <w:r>
                    <w:rPr>
                      <w:color w:val="231F20"/>
                    </w:rPr>
                    <w:t>parameter (</w:t>
                  </w:r>
                  <w:hyperlink w:history="true" w:anchor="_bookmark81">
                    <w:r>
                      <w:rPr>
                        <w:color w:val="6D6E71"/>
                      </w:rPr>
                      <w:t>Ravan et al.</w:t>
                    </w:r>
                  </w:hyperlink>
                  <w:r>
                    <w:rPr>
                      <w:color w:val="6D6E71"/>
                    </w:rPr>
                    <w:t>, </w:t>
                  </w:r>
                  <w:hyperlink w:history="true" w:anchor="_bookmark81">
                    <w:r>
                      <w:rPr>
                        <w:color w:val="6D6E71"/>
                      </w:rPr>
                      <w:t>2017</w:t>
                    </w:r>
                  </w:hyperlink>
                  <w:r>
                    <w:rPr>
                      <w:color w:val="231F20"/>
                    </w:rPr>
                    <w:t>). Local</w:t>
                  </w:r>
                </w:p>
              </w:txbxContent>
            </v:textbox>
            <v:fill opacity="26214f" type="solid"/>
            <w10:wrap type="none"/>
          </v:shape>
        </w:pict>
      </w:r>
      <w:r>
        <w:rPr>
          <w:color w:val="231F20"/>
        </w:rPr>
        <w:t>loops can also be </w:t>
      </w:r>
      <w:r>
        <w:rPr>
          <w:color w:val="231F20"/>
          <w:spacing w:val="-4"/>
        </w:rPr>
        <w:t>used </w:t>
      </w:r>
      <w:r>
        <w:rPr>
          <w:color w:val="231F20"/>
        </w:rPr>
        <w:t>to optimize the spatial and temporal distribution of the </w:t>
      </w:r>
      <w:r>
        <w:rPr>
          <w:color w:val="231F20"/>
          <w:spacing w:val="-3"/>
        </w:rPr>
        <w:t>local </w:t>
      </w:r>
      <w:r>
        <w:rPr>
          <w:color w:val="231F20"/>
        </w:rPr>
        <w:t>stimuli based on personalized ear models while using</w:t>
      </w:r>
      <w:r>
        <w:rPr>
          <w:color w:val="231F20"/>
          <w:spacing w:val="-8"/>
        </w:rPr>
        <w:t> </w:t>
      </w:r>
      <w:r>
        <w:rPr>
          <w:color w:val="231F20"/>
        </w:rPr>
        <w:t>distributed</w:t>
      </w:r>
    </w:p>
    <w:p>
      <w:pPr>
        <w:pStyle w:val="BodyText"/>
        <w:spacing w:line="213" w:lineRule="auto" w:before="107"/>
        <w:ind w:right="155"/>
        <w:jc w:val="both"/>
      </w:pPr>
      <w:r>
        <w:rPr/>
        <w:br w:type="column"/>
      </w:r>
      <w:r>
        <w:rPr>
          <w:color w:val="231F20"/>
        </w:rPr>
        <w:t>multiple needle electrodes in the ear.  In  contrast  to  local  loops, global loops cover systemic physiological </w:t>
      </w:r>
      <w:r>
        <w:rPr>
          <w:color w:val="231F20"/>
          <w:spacing w:val="-3"/>
        </w:rPr>
        <w:t>mechanisms </w:t>
      </w:r>
      <w:r>
        <w:rPr>
          <w:color w:val="231F20"/>
        </w:rPr>
        <w:t>(e.g., cardiorespiratory and cardiovascular) and show multi- scale dynamics (</w:t>
      </w:r>
      <w:hyperlink w:history="true" w:anchor="_bookmark95">
        <w:r>
          <w:rPr>
            <w:color w:val="6D6E71"/>
          </w:rPr>
          <w:t>Siauciunaite et al.</w:t>
        </w:r>
      </w:hyperlink>
      <w:r>
        <w:rPr>
          <w:color w:val="6D6E71"/>
        </w:rPr>
        <w:t>, </w:t>
      </w:r>
      <w:hyperlink w:history="true" w:anchor="_bookmark95">
        <w:r>
          <w:rPr>
            <w:color w:val="6D6E71"/>
          </w:rPr>
          <w:t>2018</w:t>
        </w:r>
      </w:hyperlink>
      <w:r>
        <w:rPr>
          <w:color w:val="231F20"/>
        </w:rPr>
        <w:t>) reflecting  </w:t>
      </w:r>
      <w:r>
        <w:rPr>
          <w:color w:val="231F20"/>
          <w:spacing w:val="-3"/>
        </w:rPr>
        <w:t>various  </w:t>
      </w:r>
      <w:r>
        <w:rPr>
          <w:color w:val="231F20"/>
        </w:rPr>
        <w:t>body rhythms. Multimodal sensing – i.e., simultaneous usage of different sensing modalities – and/or multiparametric sensing </w:t>
      </w:r>
      <w:r>
        <w:rPr>
          <w:color w:val="231F20"/>
          <w:spacing w:val="-12"/>
        </w:rPr>
        <w:t>– </w:t>
      </w:r>
      <w:r>
        <w:rPr>
          <w:color w:val="231F20"/>
        </w:rPr>
        <w:t>i.e., several parameters extracted from a single sensor – require minimum resources and deliver maximum information content, and thus can be expected to become powerful tools in the close- loop aVNS in future.</w:t>
      </w:r>
    </w:p>
    <w:p>
      <w:pPr>
        <w:pStyle w:val="BodyText"/>
        <w:spacing w:line="213" w:lineRule="auto" w:before="4"/>
        <w:ind w:right="155" w:firstLine="229"/>
        <w:jc w:val="both"/>
      </w:pPr>
      <w:r>
        <w:rPr/>
        <w:pict>
          <v:shape style="position:absolute;margin-left:301.521027pt;margin-top:-114.424103pt;width:251.05pt;height:126.75pt;mso-position-horizontal-relative:page;mso-position-vertical-relative:paragraph;z-index:-40168" coordorigin="6030,-2288" coordsize="5021,2535" path="m11051,-2059l11051,-2288,6030,-2288,6030,-455,6073,-455,6041,-401,6030,-334,6041,-267,6069,-219,6041,-172,6030,-105,6041,-38,6073,16,6294,16,6270,57,6260,124,6270,192,6302,246,8086,246,8119,192,8129,124,8119,57,8086,3,7666,3,7690,-38,7701,-105,7690,-172,7666,-213,11008,-213,11040,-267,11051,-334,11040,-401,11008,-455,11051,-455,11051,-684,11051,-914,11051,-1143,11051,-1372,11051,-1601,11051,-1830,11051,-2059e" filled="true" fillcolor="#fde164" stroked="false">
            <v:path arrowok="t"/>
            <v:fill opacity="26214f" type="solid"/>
            <w10:wrap type="none"/>
          </v:shape>
        </w:pict>
      </w:r>
      <w:hyperlink w:history="true" w:anchor="_bookmark5">
        <w:r>
          <w:rPr>
            <w:b/>
            <w:color w:val="231F20"/>
          </w:rPr>
          <w:t>Figure 5A</w:t>
        </w:r>
      </w:hyperlink>
      <w:r>
        <w:rPr>
          <w:b/>
          <w:color w:val="231F20"/>
        </w:rPr>
        <w:t> </w:t>
      </w:r>
      <w:r>
        <w:rPr>
          <w:color w:val="231F20"/>
        </w:rPr>
        <w:t>illustrates the closed-loop aVNS with the plethysmographic biofeedback, serving not only the controller to adjust the stimulus pattern but also synchronizing the stimulus. The</w:t>
      </w:r>
      <w:r>
        <w:rPr>
          <w:color w:val="231F20"/>
          <w:spacing w:val="-7"/>
        </w:rPr>
        <w:t> </w:t>
      </w:r>
      <w:r>
        <w:rPr>
          <w:color w:val="231F20"/>
        </w:rPr>
        <w:t>target</w:t>
      </w:r>
      <w:r>
        <w:rPr>
          <w:color w:val="231F20"/>
          <w:spacing w:val="-6"/>
        </w:rPr>
        <w:t> </w:t>
      </w:r>
      <w:r>
        <w:rPr>
          <w:color w:val="231F20"/>
        </w:rPr>
        <w:t>point</w:t>
      </w:r>
      <w:r>
        <w:rPr>
          <w:color w:val="231F20"/>
          <w:spacing w:val="-6"/>
        </w:rPr>
        <w:t> </w:t>
      </w:r>
      <w:r>
        <w:rPr>
          <w:color w:val="231F20"/>
        </w:rPr>
        <w:t>defines</w:t>
      </w:r>
      <w:r>
        <w:rPr>
          <w:color w:val="231F20"/>
          <w:spacing w:val="-6"/>
        </w:rPr>
        <w:t> </w:t>
      </w:r>
      <w:r>
        <w:rPr>
          <w:color w:val="231F20"/>
        </w:rPr>
        <w:t>the</w:t>
      </w:r>
      <w:r>
        <w:rPr>
          <w:color w:val="231F20"/>
          <w:spacing w:val="-6"/>
        </w:rPr>
        <w:t> </w:t>
      </w:r>
      <w:r>
        <w:rPr>
          <w:color w:val="231F20"/>
        </w:rPr>
        <w:t>state</w:t>
      </w:r>
      <w:r>
        <w:rPr>
          <w:color w:val="231F20"/>
          <w:spacing w:val="-6"/>
        </w:rPr>
        <w:t> </w:t>
      </w:r>
      <w:r>
        <w:rPr>
          <w:color w:val="231F20"/>
        </w:rPr>
        <w:t>to</w:t>
      </w:r>
      <w:r>
        <w:rPr>
          <w:color w:val="231F20"/>
          <w:spacing w:val="-6"/>
        </w:rPr>
        <w:t> </w:t>
      </w:r>
      <w:r>
        <w:rPr>
          <w:color w:val="231F20"/>
        </w:rPr>
        <w:t>be</w:t>
      </w:r>
      <w:r>
        <w:rPr>
          <w:color w:val="231F20"/>
          <w:spacing w:val="-6"/>
        </w:rPr>
        <w:t> </w:t>
      </w:r>
      <w:r>
        <w:rPr>
          <w:color w:val="231F20"/>
        </w:rPr>
        <w:t>achieved,</w:t>
      </w:r>
      <w:r>
        <w:rPr>
          <w:color w:val="231F20"/>
          <w:spacing w:val="-6"/>
        </w:rPr>
        <w:t> </w:t>
      </w:r>
      <w:r>
        <w:rPr>
          <w:color w:val="231F20"/>
        </w:rPr>
        <w:t>e.g.,</w:t>
      </w:r>
      <w:r>
        <w:rPr>
          <w:color w:val="231F20"/>
          <w:spacing w:val="-6"/>
        </w:rPr>
        <w:t> </w:t>
      </w:r>
      <w:r>
        <w:rPr>
          <w:color w:val="231F20"/>
        </w:rPr>
        <w:t>the</w:t>
      </w:r>
      <w:r>
        <w:rPr>
          <w:color w:val="231F20"/>
          <w:spacing w:val="-6"/>
        </w:rPr>
        <w:t> </w:t>
      </w:r>
      <w:r>
        <w:rPr>
          <w:color w:val="231F20"/>
        </w:rPr>
        <w:t>required blood perfusion level  in  the  periphery  or  the  targeted  level  of </w:t>
      </w:r>
      <w:r>
        <w:rPr>
          <w:color w:val="231F20"/>
          <w:spacing w:val="-3"/>
        </w:rPr>
        <w:t>HRV. </w:t>
      </w:r>
      <w:r>
        <w:rPr>
          <w:color w:val="231F20"/>
        </w:rPr>
        <w:t>Since the  individual  human  body  as  the  system  to be controlled is never sufficiently known and is subjected </w:t>
      </w:r>
      <w:r>
        <w:rPr>
          <w:color w:val="231F20"/>
          <w:spacing w:val="-6"/>
        </w:rPr>
        <w:t>to </w:t>
      </w:r>
      <w:r>
        <w:rPr>
          <w:color w:val="231F20"/>
        </w:rPr>
        <w:t>continuous changes over time, adaptive methods (e.g., machine learning) should be used to define the controller. </w:t>
      </w:r>
      <w:hyperlink w:history="true" w:anchor="_bookmark5">
        <w:r>
          <w:rPr>
            <w:b/>
            <w:color w:val="231F20"/>
          </w:rPr>
          <w:t>Figure 5B</w:t>
        </w:r>
      </w:hyperlink>
      <w:r>
        <w:rPr>
          <w:b/>
          <w:color w:val="231F20"/>
        </w:rPr>
        <w:t> </w:t>
      </w:r>
      <w:r>
        <w:rPr>
          <w:color w:val="231F20"/>
        </w:rPr>
        <w:t>shows a simplified workflow  of  the  closed-loop  aVNS  </w:t>
      </w:r>
      <w:r>
        <w:rPr>
          <w:color w:val="231F20"/>
          <w:spacing w:val="-3"/>
        </w:rPr>
        <w:t>with  </w:t>
      </w:r>
      <w:r>
        <w:rPr>
          <w:color w:val="231F20"/>
        </w:rPr>
        <w:t>the heart acting as the system to be controlled.  </w:t>
      </w:r>
      <w:hyperlink w:history="true" w:anchor="_bookmark5">
        <w:r>
          <w:rPr>
            <w:b/>
            <w:color w:val="231F20"/>
          </w:rPr>
          <w:t>Figure  5C</w:t>
        </w:r>
      </w:hyperlink>
      <w:r>
        <w:rPr>
          <w:b/>
          <w:color w:val="231F20"/>
          <w:spacing w:val="41"/>
        </w:rPr>
        <w:t> </w:t>
      </w:r>
      <w:r>
        <w:rPr>
          <w:color w:val="231F20"/>
        </w:rPr>
        <w:t>shows a combination of </w:t>
      </w:r>
      <w:hyperlink w:history="true" w:anchor="_bookmark5">
        <w:r>
          <w:rPr>
            <w:b/>
            <w:color w:val="231F20"/>
          </w:rPr>
          <w:t>Figure 5B</w:t>
        </w:r>
      </w:hyperlink>
      <w:r>
        <w:rPr>
          <w:b/>
          <w:color w:val="231F20"/>
        </w:rPr>
        <w:t> </w:t>
      </w:r>
      <w:r>
        <w:rPr>
          <w:color w:val="231F20"/>
        </w:rPr>
        <w:t>with an individual</w:t>
      </w:r>
      <w:r>
        <w:rPr>
          <w:color w:val="231F20"/>
          <w:spacing w:val="43"/>
        </w:rPr>
        <w:t> </w:t>
      </w:r>
      <w:r>
        <w:rPr>
          <w:color w:val="231F20"/>
        </w:rPr>
        <w:t>ear  model (from </w:t>
      </w:r>
      <w:hyperlink w:history="true" w:anchor="_bookmark4">
        <w:r>
          <w:rPr>
            <w:b/>
            <w:color w:val="231F20"/>
          </w:rPr>
          <w:t>Figure 4B</w:t>
        </w:r>
      </w:hyperlink>
      <w:r>
        <w:rPr>
          <w:color w:val="231F20"/>
        </w:rPr>
        <w:t>)  derived  from  the  transilluminated  ear (from </w:t>
      </w:r>
      <w:hyperlink w:history="true" w:anchor="_bookmark2">
        <w:r>
          <w:rPr>
            <w:b/>
            <w:color w:val="231F20"/>
          </w:rPr>
          <w:t>Figure 2D</w:t>
        </w:r>
      </w:hyperlink>
      <w:r>
        <w:rPr>
          <w:color w:val="231F20"/>
        </w:rPr>
        <w:t>) in order to find personalized</w:t>
      </w:r>
      <w:r>
        <w:rPr>
          <w:color w:val="231F20"/>
          <w:spacing w:val="16"/>
        </w:rPr>
        <w:t> </w:t>
      </w:r>
      <w:r>
        <w:rPr>
          <w:i/>
          <w:color w:val="231F20"/>
          <w:spacing w:val="-5"/>
        </w:rPr>
        <w:t>and </w:t>
      </w:r>
      <w:r>
        <w:rPr>
          <w:color w:val="231F20"/>
        </w:rPr>
        <w:t>optimized setting of stimulation needles and their stimulation patterns.</w:t>
      </w:r>
      <w:r>
        <w:rPr>
          <w:color w:val="231F20"/>
          <w:spacing w:val="17"/>
        </w:rPr>
        <w:t> </w:t>
      </w:r>
      <w:r>
        <w:rPr>
          <w:color w:val="231F20"/>
        </w:rPr>
        <w:t>Here</w:t>
      </w:r>
      <w:r>
        <w:rPr>
          <w:color w:val="231F20"/>
          <w:spacing w:val="18"/>
        </w:rPr>
        <w:t> </w:t>
      </w:r>
      <w:r>
        <w:rPr>
          <w:color w:val="231F20"/>
        </w:rPr>
        <w:t>the</w:t>
      </w:r>
      <w:r>
        <w:rPr>
          <w:color w:val="231F20"/>
          <w:spacing w:val="17"/>
        </w:rPr>
        <w:t> </w:t>
      </w:r>
      <w:r>
        <w:rPr>
          <w:color w:val="231F20"/>
        </w:rPr>
        <w:t>closed-loop</w:t>
      </w:r>
      <w:r>
        <w:rPr>
          <w:color w:val="231F20"/>
          <w:spacing w:val="18"/>
        </w:rPr>
        <w:t> </w:t>
      </w:r>
      <w:r>
        <w:rPr>
          <w:color w:val="231F20"/>
        </w:rPr>
        <w:t>aVNS</w:t>
      </w:r>
      <w:r>
        <w:rPr>
          <w:color w:val="231F20"/>
          <w:spacing w:val="17"/>
        </w:rPr>
        <w:t> </w:t>
      </w:r>
      <w:r>
        <w:rPr>
          <w:color w:val="231F20"/>
        </w:rPr>
        <w:t>re-optimizes</w:t>
      </w:r>
      <w:r>
        <w:rPr>
          <w:color w:val="231F20"/>
          <w:spacing w:val="18"/>
        </w:rPr>
        <w:t> </w:t>
      </w:r>
      <w:r>
        <w:rPr>
          <w:color w:val="231F20"/>
          <w:spacing w:val="-2"/>
        </w:rPr>
        <w:t>continuously</w:t>
      </w:r>
    </w:p>
    <w:p>
      <w:pPr>
        <w:spacing w:after="0" w:line="213" w:lineRule="auto"/>
        <w:jc w:val="both"/>
        <w:sectPr>
          <w:type w:val="continuous"/>
          <w:pgSz w:w="11910" w:h="15600"/>
          <w:pgMar w:top="520" w:bottom="780" w:left="740" w:right="740"/>
          <w:cols w:num="2" w:equalWidth="0">
            <w:col w:w="5095" w:space="79"/>
            <w:col w:w="5256"/>
          </w:cols>
        </w:sectPr>
      </w:pPr>
    </w:p>
    <w:p>
      <w:pPr>
        <w:pStyle w:val="BodyText"/>
        <w:spacing w:before="7"/>
        <w:ind w:left="0"/>
      </w:pPr>
    </w:p>
    <w:p>
      <w:pPr>
        <w:spacing w:after="0"/>
        <w:sectPr>
          <w:pgSz w:w="11910" w:h="15600"/>
          <w:pgMar w:header="560" w:footer="588" w:top="840" w:bottom="780" w:left="740" w:right="740"/>
        </w:sectPr>
      </w:pPr>
    </w:p>
    <w:p>
      <w:pPr>
        <w:pStyle w:val="BodyText"/>
        <w:spacing w:line="213" w:lineRule="auto" w:before="107"/>
        <w:ind w:right="-9"/>
      </w:pPr>
      <w:r>
        <w:rPr>
          <w:color w:val="231F20"/>
        </w:rPr>
        <w:t>the</w:t>
      </w:r>
      <w:r>
        <w:rPr>
          <w:color w:val="231F20"/>
          <w:spacing w:val="-8"/>
        </w:rPr>
        <w:t> </w:t>
      </w:r>
      <w:r>
        <w:rPr>
          <w:color w:val="231F20"/>
        </w:rPr>
        <w:t>stimulation</w:t>
      </w:r>
      <w:r>
        <w:rPr>
          <w:color w:val="231F20"/>
          <w:spacing w:val="-7"/>
        </w:rPr>
        <w:t> </w:t>
      </w:r>
      <w:r>
        <w:rPr>
          <w:color w:val="231F20"/>
        </w:rPr>
        <w:t>patterns</w:t>
      </w:r>
      <w:r>
        <w:rPr>
          <w:color w:val="231F20"/>
          <w:spacing w:val="-8"/>
        </w:rPr>
        <w:t> </w:t>
      </w:r>
      <w:r>
        <w:rPr>
          <w:color w:val="231F20"/>
        </w:rPr>
        <w:t>of</w:t>
      </w:r>
      <w:r>
        <w:rPr>
          <w:color w:val="231F20"/>
          <w:spacing w:val="-7"/>
        </w:rPr>
        <w:t> </w:t>
      </w:r>
      <w:r>
        <w:rPr>
          <w:color w:val="231F20"/>
        </w:rPr>
        <w:t>respective</w:t>
      </w:r>
      <w:r>
        <w:rPr>
          <w:color w:val="231F20"/>
          <w:spacing w:val="-7"/>
        </w:rPr>
        <w:t> </w:t>
      </w:r>
      <w:r>
        <w:rPr>
          <w:color w:val="231F20"/>
        </w:rPr>
        <w:t>electrodes</w:t>
      </w:r>
      <w:r>
        <w:rPr>
          <w:color w:val="231F20"/>
          <w:spacing w:val="-8"/>
        </w:rPr>
        <w:t> </w:t>
      </w:r>
      <w:r>
        <w:rPr>
          <w:color w:val="231F20"/>
        </w:rPr>
        <w:t>to</w:t>
      </w:r>
      <w:r>
        <w:rPr>
          <w:color w:val="231F20"/>
          <w:spacing w:val="-7"/>
        </w:rPr>
        <w:t> </w:t>
      </w:r>
      <w:r>
        <w:rPr>
          <w:color w:val="231F20"/>
        </w:rPr>
        <w:t>reach</w:t>
      </w:r>
      <w:r>
        <w:rPr>
          <w:color w:val="231F20"/>
          <w:spacing w:val="-7"/>
        </w:rPr>
        <w:t> </w:t>
      </w:r>
      <w:r>
        <w:rPr>
          <w:color w:val="231F20"/>
        </w:rPr>
        <w:t>therapy- relevant</w:t>
      </w:r>
      <w:r>
        <w:rPr>
          <w:color w:val="231F20"/>
          <w:spacing w:val="-1"/>
        </w:rPr>
        <w:t> </w:t>
      </w:r>
      <w:r>
        <w:rPr>
          <w:color w:val="231F20"/>
        </w:rPr>
        <w:t>targets.</w:t>
      </w:r>
    </w:p>
    <w:p>
      <w:pPr>
        <w:pStyle w:val="Heading1"/>
        <w:spacing w:before="199"/>
      </w:pPr>
      <w:bookmarkStart w:name="Therapeutic Applications" w:id="18"/>
      <w:bookmarkEnd w:id="18"/>
      <w:r>
        <w:rPr/>
      </w:r>
      <w:r>
        <w:rPr>
          <w:color w:val="231F20"/>
          <w:w w:val="110"/>
        </w:rPr>
        <w:t>Therapeutic Applications</w:t>
      </w:r>
    </w:p>
    <w:p>
      <w:pPr>
        <w:pStyle w:val="BodyText"/>
        <w:spacing w:line="213" w:lineRule="auto" w:before="21"/>
        <w:jc w:val="both"/>
      </w:pPr>
      <w:r>
        <w:rPr>
          <w:color w:val="231F20"/>
        </w:rPr>
        <w:t>An individualized on-demand invasive VNS (controlled </w:t>
      </w:r>
      <w:r>
        <w:rPr>
          <w:color w:val="231F20"/>
          <w:spacing w:val="-8"/>
        </w:rPr>
        <w:t>by </w:t>
      </w:r>
      <w:r>
        <w:rPr>
          <w:color w:val="231F20"/>
        </w:rPr>
        <w:t>patients with an active magnet stick) for epileptic treatment was a benefit for about 50% of patients as related to about 40% with the</w:t>
      </w:r>
      <w:r>
        <w:rPr>
          <w:color w:val="231F20"/>
          <w:spacing w:val="-7"/>
        </w:rPr>
        <w:t> </w:t>
      </w:r>
      <w:r>
        <w:rPr>
          <w:color w:val="231F20"/>
        </w:rPr>
        <w:t>non-adaptive</w:t>
      </w:r>
      <w:r>
        <w:rPr>
          <w:color w:val="231F20"/>
          <w:spacing w:val="-7"/>
        </w:rPr>
        <w:t> </w:t>
      </w:r>
      <w:r>
        <w:rPr>
          <w:color w:val="231F20"/>
        </w:rPr>
        <w:t>VNS</w:t>
      </w:r>
      <w:r>
        <w:rPr>
          <w:color w:val="231F20"/>
          <w:spacing w:val="-7"/>
        </w:rPr>
        <w:t> </w:t>
      </w:r>
      <w:r>
        <w:rPr>
          <w:color w:val="231F20"/>
        </w:rPr>
        <w:t>(automatic</w:t>
      </w:r>
      <w:r>
        <w:rPr>
          <w:color w:val="231F20"/>
          <w:spacing w:val="-7"/>
        </w:rPr>
        <w:t> </w:t>
      </w:r>
      <w:r>
        <w:rPr>
          <w:color w:val="231F20"/>
        </w:rPr>
        <w:t>intermittent</w:t>
      </w:r>
      <w:r>
        <w:rPr>
          <w:color w:val="231F20"/>
          <w:spacing w:val="-7"/>
        </w:rPr>
        <w:t> </w:t>
      </w:r>
      <w:r>
        <w:rPr>
          <w:color w:val="231F20"/>
        </w:rPr>
        <w:t>VNS</w:t>
      </w:r>
      <w:r>
        <w:rPr>
          <w:color w:val="231F20"/>
          <w:spacing w:val="-7"/>
        </w:rPr>
        <w:t> </w:t>
      </w:r>
      <w:r>
        <w:rPr>
          <w:color w:val="231F20"/>
        </w:rPr>
        <w:t>with</w:t>
      </w:r>
      <w:r>
        <w:rPr>
          <w:color w:val="231F20"/>
          <w:spacing w:val="-7"/>
        </w:rPr>
        <w:t> </w:t>
      </w:r>
      <w:r>
        <w:rPr>
          <w:color w:val="231F20"/>
          <w:spacing w:val="-3"/>
        </w:rPr>
        <w:t>inactive </w:t>
      </w:r>
      <w:r>
        <w:rPr>
          <w:color w:val="231F20"/>
        </w:rPr>
        <w:t>magnet) (</w:t>
      </w:r>
      <w:hyperlink w:history="true" w:anchor="_bookmark65">
        <w:r>
          <w:rPr>
            <w:color w:val="6D6E71"/>
          </w:rPr>
          <w:t>Morris</w:t>
        </w:r>
      </w:hyperlink>
      <w:r>
        <w:rPr>
          <w:color w:val="6D6E71"/>
        </w:rPr>
        <w:t>, </w:t>
      </w:r>
      <w:hyperlink w:history="true" w:anchor="_bookmark65">
        <w:r>
          <w:rPr>
            <w:color w:val="6D6E71"/>
          </w:rPr>
          <w:t>2003</w:t>
        </w:r>
      </w:hyperlink>
      <w:r>
        <w:rPr>
          <w:color w:val="231F20"/>
        </w:rPr>
        <w:t>). Here the clinical benefit was defined </w:t>
      </w:r>
      <w:r>
        <w:rPr>
          <w:color w:val="231F20"/>
          <w:spacing w:val="-6"/>
        </w:rPr>
        <w:t>in </w:t>
      </w:r>
      <w:r>
        <w:rPr>
          <w:color w:val="231F20"/>
        </w:rPr>
        <w:t>terms of aborted or decreased severity of seizures. In addition, the seizure improvement was unrelated to seizure frequency, whereas the on-demand approach provided a favorable reversal of “learned helplessness” to patients gaining a greater sense </w:t>
      </w:r>
      <w:r>
        <w:rPr>
          <w:color w:val="231F20"/>
          <w:spacing w:val="-7"/>
        </w:rPr>
        <w:t>of </w:t>
      </w:r>
      <w:r>
        <w:rPr>
          <w:color w:val="231F20"/>
        </w:rPr>
        <w:t>control over their</w:t>
      </w:r>
      <w:r>
        <w:rPr>
          <w:color w:val="231F20"/>
          <w:spacing w:val="-1"/>
        </w:rPr>
        <w:t> </w:t>
      </w:r>
      <w:r>
        <w:rPr>
          <w:color w:val="231F20"/>
        </w:rPr>
        <w:t>seizures.</w:t>
      </w:r>
    </w:p>
    <w:p>
      <w:pPr>
        <w:pStyle w:val="BodyText"/>
        <w:spacing w:line="213" w:lineRule="auto" w:before="10"/>
        <w:ind w:firstLine="229"/>
        <w:jc w:val="both"/>
      </w:pPr>
      <w:r>
        <w:rPr>
          <w:color w:val="231F20"/>
        </w:rPr>
        <w:t>The closed-loop VNS seems to be in favor of the open-loop VNS while reducing seizure severity (</w:t>
      </w:r>
      <w:hyperlink w:history="true" w:anchor="_bookmark17">
        <w:r>
          <w:rPr>
            <w:color w:val="6D6E71"/>
          </w:rPr>
          <w:t>Boon et al.</w:t>
        </w:r>
      </w:hyperlink>
      <w:r>
        <w:rPr>
          <w:color w:val="6D6E71"/>
        </w:rPr>
        <w:t>, </w:t>
      </w:r>
      <w:hyperlink w:history="true" w:anchor="_bookmark17">
        <w:r>
          <w:rPr>
            <w:color w:val="6D6E71"/>
          </w:rPr>
          <w:t>2015</w:t>
        </w:r>
      </w:hyperlink>
      <w:r>
        <w:rPr>
          <w:color w:val="231F20"/>
        </w:rPr>
        <w:t>). </w:t>
      </w:r>
      <w:r>
        <w:rPr>
          <w:color w:val="231F20"/>
          <w:spacing w:val="-4"/>
        </w:rPr>
        <w:t>Here  </w:t>
      </w:r>
      <w:r>
        <w:rPr>
          <w:color w:val="231F20"/>
          <w:spacing w:val="35"/>
        </w:rPr>
        <w:t> </w:t>
      </w:r>
      <w:r>
        <w:rPr>
          <w:color w:val="231F20"/>
        </w:rPr>
        <w:t>an increase of the heart rate of at least 20% – indicating </w:t>
      </w:r>
      <w:r>
        <w:rPr>
          <w:color w:val="231F20"/>
          <w:spacing w:val="-6"/>
        </w:rPr>
        <w:t>an </w:t>
      </w:r>
      <w:r>
        <w:rPr>
          <w:color w:val="231F20"/>
        </w:rPr>
        <w:t>increased sympathetic outflow associated with ictal discharges (</w:t>
      </w:r>
      <w:hyperlink w:history="true" w:anchor="_bookmark30">
        <w:r>
          <w:rPr>
            <w:color w:val="6D6E71"/>
          </w:rPr>
          <w:t>Eggleston et al.</w:t>
        </w:r>
      </w:hyperlink>
      <w:r>
        <w:rPr>
          <w:color w:val="6D6E71"/>
        </w:rPr>
        <w:t>, </w:t>
      </w:r>
      <w:hyperlink w:history="true" w:anchor="_bookmark30">
        <w:r>
          <w:rPr>
            <w:color w:val="6D6E71"/>
          </w:rPr>
          <w:t>2014</w:t>
        </w:r>
      </w:hyperlink>
      <w:r>
        <w:rPr>
          <w:color w:val="231F20"/>
        </w:rPr>
        <w:t>) – was used to detect seizure onset and then to re-start VNS. Timely and personalized delivery of </w:t>
      </w:r>
      <w:r>
        <w:rPr>
          <w:color w:val="231F20"/>
          <w:spacing w:val="-5"/>
        </w:rPr>
        <w:t>VNS </w:t>
      </w:r>
      <w:r>
        <w:rPr>
          <w:color w:val="231F20"/>
        </w:rPr>
        <w:t>in </w:t>
      </w:r>
      <w:hyperlink w:history="true" w:anchor="_bookmark81">
        <w:r>
          <w:rPr>
            <w:color w:val="6D6E71"/>
          </w:rPr>
          <w:t>Ravan et al.</w:t>
        </w:r>
      </w:hyperlink>
      <w:r>
        <w:rPr>
          <w:color w:val="6D6E71"/>
        </w:rPr>
        <w:t> (</w:t>
      </w:r>
      <w:hyperlink w:history="true" w:anchor="_bookmark81">
        <w:r>
          <w:rPr>
            <w:color w:val="6D6E71"/>
          </w:rPr>
          <w:t>2017</w:t>
        </w:r>
      </w:hyperlink>
      <w:r>
        <w:rPr>
          <w:color w:val="6D6E71"/>
        </w:rPr>
        <w:t>) </w:t>
      </w:r>
      <w:r>
        <w:rPr>
          <w:color w:val="231F20"/>
        </w:rPr>
        <w:t>was based on increased heart rate and synchronized brain dynamics to detect seizures for VNS</w:t>
      </w:r>
      <w:r>
        <w:rPr>
          <w:color w:val="231F20"/>
          <w:spacing w:val="-21"/>
        </w:rPr>
        <w:t> </w:t>
      </w:r>
      <w:r>
        <w:rPr>
          <w:color w:val="231F20"/>
        </w:rPr>
        <w:t>therapy. The monitored heart rate can be used to close the VNS loop also in heart failure patients (</w:t>
      </w:r>
      <w:hyperlink w:history="true" w:anchor="_bookmark38">
        <w:r>
          <w:rPr>
            <w:color w:val="6D6E71"/>
          </w:rPr>
          <w:t>Guiraud et al.</w:t>
        </w:r>
      </w:hyperlink>
      <w:r>
        <w:rPr>
          <w:color w:val="6D6E71"/>
        </w:rPr>
        <w:t>, </w:t>
      </w:r>
      <w:hyperlink w:history="true" w:anchor="_bookmark38">
        <w:r>
          <w:rPr>
            <w:color w:val="6D6E71"/>
          </w:rPr>
          <w:t>2016</w:t>
        </w:r>
      </w:hyperlink>
      <w:r>
        <w:rPr>
          <w:color w:val="231F20"/>
        </w:rPr>
        <w:t>). In particular, </w:t>
      </w:r>
      <w:r>
        <w:rPr>
          <w:color w:val="231F20"/>
          <w:spacing w:val="-5"/>
        </w:rPr>
        <w:t>the </w:t>
      </w:r>
      <w:r>
        <w:rPr>
          <w:color w:val="231F20"/>
        </w:rPr>
        <w:t>stimulation frequency, amplitude, pulse width as well as the on- off time of VNS – either synchronously or asynchronously with the </w:t>
      </w:r>
      <w:r>
        <w:rPr>
          <w:color w:val="231F20"/>
          <w:spacing w:val="-3"/>
        </w:rPr>
        <w:t>R-wave </w:t>
      </w:r>
      <w:r>
        <w:rPr>
          <w:color w:val="231F20"/>
        </w:rPr>
        <w:t>of electrocardiogram – can be adjusted in response  to the heart rate (</w:t>
      </w:r>
      <w:hyperlink w:history="true" w:anchor="_bookmark38">
        <w:r>
          <w:rPr>
            <w:color w:val="6D6E71"/>
          </w:rPr>
          <w:t>Guiraud et al.</w:t>
        </w:r>
      </w:hyperlink>
      <w:r>
        <w:rPr>
          <w:color w:val="6D6E71"/>
        </w:rPr>
        <w:t>, </w:t>
      </w:r>
      <w:hyperlink w:history="true" w:anchor="_bookmark38">
        <w:r>
          <w:rPr>
            <w:color w:val="6D6E71"/>
          </w:rPr>
          <w:t>2016</w:t>
        </w:r>
      </w:hyperlink>
      <w:r>
        <w:rPr>
          <w:color w:val="231F20"/>
        </w:rPr>
        <w:t>). The heart rate was also used as feedback for VNS affecting the atrioventricular node </w:t>
      </w:r>
      <w:r>
        <w:rPr>
          <w:color w:val="231F20"/>
          <w:spacing w:val="-7"/>
        </w:rPr>
        <w:t>in </w:t>
      </w:r>
      <w:r>
        <w:rPr>
          <w:color w:val="231F20"/>
        </w:rPr>
        <w:t>order to reduce the heart rate in atrial fibrillation in a dog </w:t>
      </w:r>
      <w:r>
        <w:rPr>
          <w:color w:val="231F20"/>
          <w:spacing w:val="-4"/>
        </w:rPr>
        <w:t>model </w:t>
      </w:r>
      <w:r>
        <w:rPr>
          <w:color w:val="231F20"/>
        </w:rPr>
        <w:t>(</w:t>
      </w:r>
      <w:hyperlink w:history="true" w:anchor="_bookmark110">
        <w:r>
          <w:rPr>
            <w:color w:val="6D6E71"/>
          </w:rPr>
          <w:t>Zhang et al.</w:t>
        </w:r>
      </w:hyperlink>
      <w:r>
        <w:rPr>
          <w:color w:val="6D6E71"/>
        </w:rPr>
        <w:t>,</w:t>
      </w:r>
      <w:r>
        <w:rPr>
          <w:color w:val="6D6E71"/>
          <w:spacing w:val="-1"/>
        </w:rPr>
        <w:t> </w:t>
      </w:r>
      <w:hyperlink w:history="true" w:anchor="_bookmark110">
        <w:r>
          <w:rPr>
            <w:color w:val="6D6E71"/>
          </w:rPr>
          <w:t>2002</w:t>
        </w:r>
      </w:hyperlink>
      <w:r>
        <w:rPr>
          <w:color w:val="231F20"/>
        </w:rPr>
        <w:t>).</w:t>
      </w:r>
    </w:p>
    <w:p>
      <w:pPr>
        <w:pStyle w:val="BodyText"/>
        <w:spacing w:line="213" w:lineRule="auto" w:before="17"/>
        <w:ind w:firstLine="229"/>
        <w:jc w:val="both"/>
      </w:pPr>
      <w:r>
        <w:rPr>
          <w:color w:val="231F20"/>
        </w:rPr>
        <w:t>Auricular vagus nerve stimulation gated to the exhalation phase of respiration is suggested to be more efficient in </w:t>
      </w:r>
      <w:r>
        <w:rPr>
          <w:color w:val="231F20"/>
          <w:spacing w:val="-5"/>
        </w:rPr>
        <w:t>the </w:t>
      </w:r>
      <w:r>
        <w:rPr>
          <w:color w:val="231F20"/>
        </w:rPr>
        <w:t>activation of NTS (</w:t>
      </w:r>
      <w:hyperlink w:history="true" w:anchor="_bookmark93">
        <w:r>
          <w:rPr>
            <w:color w:val="6D6E71"/>
          </w:rPr>
          <w:t>Sclocco et al.</w:t>
        </w:r>
      </w:hyperlink>
      <w:r>
        <w:rPr>
          <w:color w:val="6D6E71"/>
        </w:rPr>
        <w:t>, </w:t>
      </w:r>
      <w:hyperlink w:history="true" w:anchor="_bookmark93">
        <w:r>
          <w:rPr>
            <w:color w:val="6D6E71"/>
          </w:rPr>
          <w:t>2019</w:t>
        </w:r>
      </w:hyperlink>
      <w:r>
        <w:rPr>
          <w:color w:val="231F20"/>
        </w:rPr>
        <w:t>) and to improve </w:t>
      </w:r>
      <w:r>
        <w:rPr>
          <w:color w:val="231F20"/>
          <w:spacing w:val="-3"/>
        </w:rPr>
        <w:t>analgesic </w:t>
      </w:r>
      <w:r>
        <w:rPr>
          <w:color w:val="231F20"/>
        </w:rPr>
        <w:t>benefits of aVNS while counteracting neuronal adaptation mechanisms (</w:t>
      </w:r>
      <w:hyperlink w:history="true" w:anchor="_bookmark67">
        <w:r>
          <w:rPr>
            <w:color w:val="6D6E71"/>
          </w:rPr>
          <w:t>Napadow et al.</w:t>
        </w:r>
      </w:hyperlink>
      <w:r>
        <w:rPr>
          <w:color w:val="6D6E71"/>
        </w:rPr>
        <w:t>, </w:t>
      </w:r>
      <w:hyperlink w:history="true" w:anchor="_bookmark67">
        <w:r>
          <w:rPr>
            <w:color w:val="6D6E71"/>
          </w:rPr>
          <w:t>2012</w:t>
        </w:r>
      </w:hyperlink>
      <w:r>
        <w:rPr>
          <w:color w:val="231F20"/>
        </w:rPr>
        <w:t>), especially in migraine patients (</w:t>
      </w:r>
      <w:hyperlink w:history="true" w:anchor="_bookmark34">
        <w:r>
          <w:rPr>
            <w:color w:val="6D6E71"/>
          </w:rPr>
          <w:t>Garcia et al.</w:t>
        </w:r>
      </w:hyperlink>
      <w:r>
        <w:rPr>
          <w:color w:val="6D6E71"/>
        </w:rPr>
        <w:t>, </w:t>
      </w:r>
      <w:hyperlink w:history="true" w:anchor="_bookmark34">
        <w:r>
          <w:rPr>
            <w:color w:val="6D6E71"/>
          </w:rPr>
          <w:t>2017</w:t>
        </w:r>
      </w:hyperlink>
      <w:r>
        <w:rPr>
          <w:color w:val="231F20"/>
        </w:rPr>
        <w:t>). The rationale of this approach is that natural activity of the efferent and afferent VN is </w:t>
      </w:r>
      <w:r>
        <w:rPr>
          <w:color w:val="231F20"/>
          <w:spacing w:val="-3"/>
        </w:rPr>
        <w:t>tuned  </w:t>
      </w:r>
      <w:r>
        <w:rPr>
          <w:color w:val="231F20"/>
        </w:rPr>
        <w:t>with respiration. In particular, VN activity is not only directly modulated</w:t>
      </w:r>
      <w:r>
        <w:rPr>
          <w:color w:val="231F20"/>
          <w:spacing w:val="-9"/>
        </w:rPr>
        <w:t> </w:t>
      </w:r>
      <w:r>
        <w:rPr>
          <w:color w:val="231F20"/>
        </w:rPr>
        <w:t>by</w:t>
      </w:r>
      <w:r>
        <w:rPr>
          <w:color w:val="231F20"/>
          <w:spacing w:val="-9"/>
        </w:rPr>
        <w:t> </w:t>
      </w:r>
      <w:r>
        <w:rPr>
          <w:color w:val="231F20"/>
        </w:rPr>
        <w:t>respiration</w:t>
      </w:r>
      <w:r>
        <w:rPr>
          <w:color w:val="231F20"/>
          <w:spacing w:val="-9"/>
        </w:rPr>
        <w:t> </w:t>
      </w:r>
      <w:r>
        <w:rPr>
          <w:color w:val="231F20"/>
        </w:rPr>
        <w:t>via</w:t>
      </w:r>
      <w:r>
        <w:rPr>
          <w:color w:val="231F20"/>
          <w:spacing w:val="-9"/>
        </w:rPr>
        <w:t> </w:t>
      </w:r>
      <w:r>
        <w:rPr>
          <w:color w:val="231F20"/>
        </w:rPr>
        <w:t>afferent</w:t>
      </w:r>
      <w:r>
        <w:rPr>
          <w:color w:val="231F20"/>
          <w:spacing w:val="-8"/>
        </w:rPr>
        <w:t> </w:t>
      </w:r>
      <w:r>
        <w:rPr>
          <w:color w:val="231F20"/>
        </w:rPr>
        <w:t>VN</w:t>
      </w:r>
      <w:r>
        <w:rPr>
          <w:color w:val="231F20"/>
          <w:spacing w:val="-9"/>
        </w:rPr>
        <w:t> </w:t>
      </w:r>
      <w:r>
        <w:rPr>
          <w:color w:val="231F20"/>
        </w:rPr>
        <w:t>endings</w:t>
      </w:r>
      <w:r>
        <w:rPr>
          <w:color w:val="231F20"/>
          <w:spacing w:val="-9"/>
        </w:rPr>
        <w:t> </w:t>
      </w:r>
      <w:r>
        <w:rPr>
          <w:color w:val="231F20"/>
        </w:rPr>
        <w:t>in</w:t>
      </w:r>
      <w:r>
        <w:rPr>
          <w:color w:val="231F20"/>
          <w:spacing w:val="-9"/>
        </w:rPr>
        <w:t> </w:t>
      </w:r>
      <w:r>
        <w:rPr>
          <w:color w:val="231F20"/>
        </w:rPr>
        <w:t>the</w:t>
      </w:r>
      <w:r>
        <w:rPr>
          <w:color w:val="231F20"/>
          <w:spacing w:val="-9"/>
        </w:rPr>
        <w:t> </w:t>
      </w:r>
      <w:r>
        <w:rPr>
          <w:color w:val="231F20"/>
        </w:rPr>
        <w:t>lungs</w:t>
      </w:r>
      <w:r>
        <w:rPr>
          <w:color w:val="231F20"/>
          <w:spacing w:val="-8"/>
        </w:rPr>
        <w:t> </w:t>
      </w:r>
      <w:r>
        <w:rPr>
          <w:color w:val="231F20"/>
          <w:spacing w:val="-6"/>
        </w:rPr>
        <w:t>but </w:t>
      </w:r>
      <w:r>
        <w:rPr>
          <w:color w:val="231F20"/>
        </w:rPr>
        <w:t>also indirectly modulated via respiratory-related blood </w:t>
      </w:r>
      <w:r>
        <w:rPr>
          <w:color w:val="231F20"/>
          <w:spacing w:val="-3"/>
        </w:rPr>
        <w:t>pressure </w:t>
      </w:r>
      <w:r>
        <w:rPr>
          <w:color w:val="231F20"/>
        </w:rPr>
        <w:t>changes (</w:t>
      </w:r>
      <w:hyperlink w:history="true" w:anchor="_bookmark47">
        <w:r>
          <w:rPr>
            <w:color w:val="6D6E71"/>
          </w:rPr>
          <w:t>Kaniusas</w:t>
        </w:r>
      </w:hyperlink>
      <w:r>
        <w:rPr>
          <w:color w:val="6D6E71"/>
        </w:rPr>
        <w:t>, </w:t>
      </w:r>
      <w:hyperlink w:history="true" w:anchor="_bookmark47">
        <w:r>
          <w:rPr>
            <w:color w:val="6D6E71"/>
          </w:rPr>
          <w:t>2012</w:t>
        </w:r>
      </w:hyperlink>
      <w:r>
        <w:rPr>
          <w:color w:val="231F20"/>
        </w:rPr>
        <w:t>), namely, via the respiratory-related recruitment of VN afferents of baroreceptors (</w:t>
      </w:r>
      <w:hyperlink w:history="true" w:anchor="_bookmark52">
        <w:r>
          <w:rPr>
            <w:color w:val="6D6E71"/>
          </w:rPr>
          <w:t>Karemaker</w:t>
        </w:r>
      </w:hyperlink>
      <w:r>
        <w:rPr>
          <w:color w:val="6D6E71"/>
        </w:rPr>
        <w:t>,</w:t>
      </w:r>
      <w:r>
        <w:rPr>
          <w:color w:val="6D6E71"/>
          <w:spacing w:val="-21"/>
        </w:rPr>
        <w:t> </w:t>
      </w:r>
      <w:hyperlink w:history="true" w:anchor="_bookmark52">
        <w:r>
          <w:rPr>
            <w:color w:val="6D6E71"/>
          </w:rPr>
          <w:t>2017</w:t>
        </w:r>
      </w:hyperlink>
      <w:r>
        <w:rPr>
          <w:color w:val="231F20"/>
        </w:rPr>
        <w:t>).</w:t>
      </w:r>
    </w:p>
    <w:p>
      <w:pPr>
        <w:pStyle w:val="BodyText"/>
        <w:spacing w:before="9"/>
        <w:ind w:left="0"/>
        <w:rPr>
          <w:sz w:val="30"/>
        </w:rPr>
      </w:pPr>
    </w:p>
    <w:p>
      <w:pPr>
        <w:pStyle w:val="Heading1"/>
      </w:pPr>
      <w:bookmarkStart w:name="Future Directions" w:id="19"/>
      <w:bookmarkEnd w:id="19"/>
      <w:r>
        <w:rPr/>
      </w:r>
      <w:r>
        <w:rPr>
          <w:color w:val="231F20"/>
        </w:rPr>
        <w:t>FUTURE DIRECTIONS</w:t>
      </w:r>
    </w:p>
    <w:p>
      <w:pPr>
        <w:pStyle w:val="BodyText"/>
        <w:spacing w:line="213" w:lineRule="auto" w:before="204"/>
        <w:jc w:val="right"/>
      </w:pPr>
      <w:r>
        <w:rPr>
          <w:color w:val="231F20"/>
        </w:rPr>
        <w:t>Auricular</w:t>
      </w:r>
      <w:r>
        <w:rPr>
          <w:color w:val="231F20"/>
          <w:spacing w:val="22"/>
        </w:rPr>
        <w:t> </w:t>
      </w:r>
      <w:r>
        <w:rPr>
          <w:color w:val="231F20"/>
        </w:rPr>
        <w:t>vagus</w:t>
      </w:r>
      <w:r>
        <w:rPr>
          <w:color w:val="231F20"/>
          <w:spacing w:val="23"/>
        </w:rPr>
        <w:t> </w:t>
      </w:r>
      <w:r>
        <w:rPr>
          <w:color w:val="231F20"/>
        </w:rPr>
        <w:t>nerve</w:t>
      </w:r>
      <w:r>
        <w:rPr>
          <w:color w:val="231F20"/>
          <w:spacing w:val="23"/>
        </w:rPr>
        <w:t> </w:t>
      </w:r>
      <w:r>
        <w:rPr>
          <w:color w:val="231F20"/>
        </w:rPr>
        <w:t>stimulation</w:t>
      </w:r>
      <w:r>
        <w:rPr>
          <w:color w:val="231F20"/>
          <w:spacing w:val="23"/>
        </w:rPr>
        <w:t> </w:t>
      </w:r>
      <w:r>
        <w:rPr>
          <w:color w:val="231F20"/>
        </w:rPr>
        <w:t>is</w:t>
      </w:r>
      <w:r>
        <w:rPr>
          <w:color w:val="231F20"/>
          <w:spacing w:val="23"/>
        </w:rPr>
        <w:t> </w:t>
      </w:r>
      <w:r>
        <w:rPr>
          <w:color w:val="231F20"/>
        </w:rPr>
        <w:t>a</w:t>
      </w:r>
      <w:r>
        <w:rPr>
          <w:color w:val="231F20"/>
          <w:spacing w:val="22"/>
        </w:rPr>
        <w:t> </w:t>
      </w:r>
      <w:r>
        <w:rPr>
          <w:color w:val="231F20"/>
        </w:rPr>
        <w:t>promising</w:t>
      </w:r>
      <w:r>
        <w:rPr>
          <w:color w:val="231F20"/>
          <w:spacing w:val="23"/>
        </w:rPr>
        <w:t> </w:t>
      </w:r>
      <w:r>
        <w:rPr>
          <w:color w:val="231F20"/>
        </w:rPr>
        <w:t>bioelectronic technology which may serve as an</w:t>
      </w:r>
      <w:r>
        <w:rPr>
          <w:color w:val="231F20"/>
          <w:spacing w:val="26"/>
        </w:rPr>
        <w:t> </w:t>
      </w:r>
      <w:r>
        <w:rPr>
          <w:color w:val="231F20"/>
        </w:rPr>
        <w:t>alternative,</w:t>
      </w:r>
      <w:r>
        <w:rPr>
          <w:color w:val="231F20"/>
          <w:spacing w:val="20"/>
        </w:rPr>
        <w:t> </w:t>
      </w:r>
      <w:r>
        <w:rPr>
          <w:color w:val="231F20"/>
        </w:rPr>
        <w:t>non- pharmacological, and</w:t>
      </w:r>
      <w:r>
        <w:rPr>
          <w:color w:val="231F20"/>
          <w:spacing w:val="33"/>
        </w:rPr>
        <w:t> </w:t>
      </w:r>
      <w:r>
        <w:rPr>
          <w:color w:val="231F20"/>
        </w:rPr>
        <w:t>neuro-immunomodulatory</w:t>
      </w:r>
      <w:r>
        <w:rPr>
          <w:color w:val="231F20"/>
          <w:spacing w:val="39"/>
        </w:rPr>
        <w:t> </w:t>
      </w:r>
      <w:r>
        <w:rPr>
          <w:color w:val="231F20"/>
        </w:rPr>
        <w:t>intervention. aVNS</w:t>
      </w:r>
      <w:r>
        <w:rPr>
          <w:color w:val="231F20"/>
          <w:spacing w:val="-5"/>
        </w:rPr>
        <w:t> </w:t>
      </w:r>
      <w:r>
        <w:rPr>
          <w:color w:val="231F20"/>
        </w:rPr>
        <w:t>shows</w:t>
      </w:r>
      <w:r>
        <w:rPr>
          <w:color w:val="231F20"/>
          <w:spacing w:val="-4"/>
        </w:rPr>
        <w:t> </w:t>
      </w:r>
      <w:r>
        <w:rPr>
          <w:color w:val="231F20"/>
        </w:rPr>
        <w:t>a</w:t>
      </w:r>
      <w:r>
        <w:rPr>
          <w:color w:val="231F20"/>
          <w:spacing w:val="-4"/>
        </w:rPr>
        <w:t> </w:t>
      </w:r>
      <w:r>
        <w:rPr>
          <w:color w:val="231F20"/>
        </w:rPr>
        <w:t>variety</w:t>
      </w:r>
      <w:r>
        <w:rPr>
          <w:color w:val="231F20"/>
          <w:spacing w:val="-4"/>
        </w:rPr>
        <w:t> </w:t>
      </w:r>
      <w:r>
        <w:rPr>
          <w:color w:val="231F20"/>
        </w:rPr>
        <w:t>of</w:t>
      </w:r>
      <w:r>
        <w:rPr>
          <w:color w:val="231F20"/>
          <w:spacing w:val="-4"/>
        </w:rPr>
        <w:t> </w:t>
      </w:r>
      <w:r>
        <w:rPr>
          <w:color w:val="231F20"/>
        </w:rPr>
        <w:t>potential</w:t>
      </w:r>
      <w:r>
        <w:rPr>
          <w:color w:val="231F20"/>
          <w:spacing w:val="-5"/>
        </w:rPr>
        <w:t> </w:t>
      </w:r>
      <w:r>
        <w:rPr>
          <w:color w:val="231F20"/>
        </w:rPr>
        <w:t>therapeutic</w:t>
      </w:r>
      <w:r>
        <w:rPr>
          <w:color w:val="231F20"/>
          <w:spacing w:val="-4"/>
        </w:rPr>
        <w:t> </w:t>
      </w:r>
      <w:r>
        <w:rPr>
          <w:color w:val="231F20"/>
        </w:rPr>
        <w:t>applications</w:t>
      </w:r>
      <w:r>
        <w:rPr>
          <w:color w:val="231F20"/>
          <w:spacing w:val="-4"/>
        </w:rPr>
        <w:t> </w:t>
      </w:r>
      <w:r>
        <w:rPr>
          <w:color w:val="231F20"/>
        </w:rPr>
        <w:t>due</w:t>
      </w:r>
      <w:r>
        <w:rPr>
          <w:color w:val="231F20"/>
          <w:spacing w:val="-4"/>
        </w:rPr>
        <w:t> </w:t>
      </w:r>
      <w:r>
        <w:rPr>
          <w:color w:val="231F20"/>
          <w:spacing w:val="-6"/>
        </w:rPr>
        <w:t>to</w:t>
      </w:r>
      <w:r>
        <w:rPr>
          <w:color w:val="231F20"/>
        </w:rPr>
        <w:t> its systemic effects on the human body (</w:t>
      </w:r>
      <w:hyperlink w:history="true" w:anchor="_bookmark49">
        <w:r>
          <w:rPr>
            <w:color w:val="6D6E71"/>
          </w:rPr>
          <w:t>Kaniusas et al.</w:t>
        </w:r>
      </w:hyperlink>
      <w:r>
        <w:rPr>
          <w:color w:val="6D6E71"/>
        </w:rPr>
        <w:t>,</w:t>
      </w:r>
      <w:r>
        <w:rPr>
          <w:color w:val="6D6E71"/>
          <w:spacing w:val="-9"/>
        </w:rPr>
        <w:t> </w:t>
      </w:r>
      <w:hyperlink w:history="true" w:anchor="_bookmark49">
        <w:r>
          <w:rPr>
            <w:color w:val="6D6E71"/>
          </w:rPr>
          <w:t>2019</w:t>
        </w:r>
      </w:hyperlink>
      <w:r>
        <w:rPr>
          <w:color w:val="231F20"/>
        </w:rPr>
        <w:t>). Its huge</w:t>
      </w:r>
      <w:r>
        <w:rPr>
          <w:color w:val="231F20"/>
          <w:spacing w:val="14"/>
        </w:rPr>
        <w:t> </w:t>
      </w:r>
      <w:r>
        <w:rPr>
          <w:color w:val="231F20"/>
        </w:rPr>
        <w:t>potential,</w:t>
      </w:r>
      <w:r>
        <w:rPr>
          <w:color w:val="231F20"/>
          <w:spacing w:val="15"/>
        </w:rPr>
        <w:t> </w:t>
      </w:r>
      <w:r>
        <w:rPr>
          <w:color w:val="231F20"/>
        </w:rPr>
        <w:t>for</w:t>
      </w:r>
      <w:r>
        <w:rPr>
          <w:color w:val="231F20"/>
          <w:spacing w:val="14"/>
        </w:rPr>
        <w:t> </w:t>
      </w:r>
      <w:r>
        <w:rPr>
          <w:color w:val="231F20"/>
        </w:rPr>
        <w:t>instance,</w:t>
      </w:r>
      <w:r>
        <w:rPr>
          <w:color w:val="231F20"/>
          <w:spacing w:val="15"/>
        </w:rPr>
        <w:t> </w:t>
      </w:r>
      <w:r>
        <w:rPr>
          <w:color w:val="231F20"/>
        </w:rPr>
        <w:t>in</w:t>
      </w:r>
      <w:r>
        <w:rPr>
          <w:color w:val="231F20"/>
          <w:spacing w:val="14"/>
        </w:rPr>
        <w:t> </w:t>
      </w:r>
      <w:r>
        <w:rPr>
          <w:color w:val="231F20"/>
        </w:rPr>
        <w:t>chronic</w:t>
      </w:r>
      <w:r>
        <w:rPr>
          <w:color w:val="231F20"/>
          <w:spacing w:val="15"/>
        </w:rPr>
        <w:t> </w:t>
      </w:r>
      <w:r>
        <w:rPr>
          <w:color w:val="231F20"/>
        </w:rPr>
        <w:t>pain,</w:t>
      </w:r>
      <w:r>
        <w:rPr>
          <w:color w:val="231F20"/>
          <w:spacing w:val="14"/>
        </w:rPr>
        <w:t> </w:t>
      </w:r>
      <w:r>
        <w:rPr>
          <w:color w:val="231F20"/>
        </w:rPr>
        <w:t>warrants</w:t>
      </w:r>
      <w:r>
        <w:rPr>
          <w:color w:val="231F20"/>
          <w:spacing w:val="15"/>
        </w:rPr>
        <w:t> </w:t>
      </w:r>
      <w:r>
        <w:rPr>
          <w:color w:val="231F20"/>
          <w:spacing w:val="-3"/>
        </w:rPr>
        <w:t>manifold</w:t>
      </w:r>
      <w:r>
        <w:rPr>
          <w:color w:val="231F20"/>
        </w:rPr>
        <w:t> research-guided and clinically related aVNS directions in</w:t>
      </w:r>
      <w:r>
        <w:rPr>
          <w:color w:val="231F20"/>
          <w:spacing w:val="-5"/>
        </w:rPr>
        <w:t> </w:t>
      </w:r>
      <w:r>
        <w:rPr>
          <w:color w:val="231F20"/>
        </w:rPr>
        <w:t>future.</w:t>
      </w:r>
    </w:p>
    <w:p>
      <w:pPr>
        <w:pStyle w:val="BodyText"/>
        <w:spacing w:line="213" w:lineRule="auto" w:before="8"/>
        <w:ind w:firstLine="229"/>
        <w:jc w:val="both"/>
      </w:pPr>
      <w:r>
        <w:rPr>
          <w:color w:val="231F20"/>
        </w:rPr>
        <w:t>Founded investigations on the  dose-response  </w:t>
      </w:r>
      <w:r>
        <w:rPr>
          <w:color w:val="231F20"/>
          <w:spacing w:val="-3"/>
        </w:rPr>
        <w:t>relationships  </w:t>
      </w:r>
      <w:r>
        <w:rPr>
          <w:color w:val="231F20"/>
        </w:rPr>
        <w:t>in aVNS are sparse (</w:t>
      </w:r>
      <w:hyperlink w:history="true" w:anchor="_bookmark71">
        <w:r>
          <w:rPr>
            <w:color w:val="6D6E71"/>
          </w:rPr>
          <w:t>Nonis et al.</w:t>
        </w:r>
      </w:hyperlink>
      <w:r>
        <w:rPr>
          <w:color w:val="6D6E71"/>
        </w:rPr>
        <w:t>, </w:t>
      </w:r>
      <w:hyperlink w:history="true" w:anchor="_bookmark71">
        <w:r>
          <w:rPr>
            <w:color w:val="6D6E71"/>
          </w:rPr>
          <w:t>2017</w:t>
        </w:r>
      </w:hyperlink>
      <w:r>
        <w:rPr>
          <w:color w:val="231F20"/>
        </w:rPr>
        <w:t>) regarding relevant indications  (</w:t>
      </w:r>
      <w:hyperlink w:history="true" w:anchor="_bookmark49">
        <w:r>
          <w:rPr>
            <w:color w:val="6D6E71"/>
          </w:rPr>
          <w:t>Kaniusas  et  al.</w:t>
        </w:r>
      </w:hyperlink>
      <w:r>
        <w:rPr>
          <w:color w:val="6D6E71"/>
        </w:rPr>
        <w:t>,  </w:t>
      </w:r>
      <w:hyperlink w:history="true" w:anchor="_bookmark49">
        <w:r>
          <w:rPr>
            <w:color w:val="6D6E71"/>
          </w:rPr>
          <w:t>2019</w:t>
        </w:r>
      </w:hyperlink>
      <w:r>
        <w:rPr>
          <w:color w:val="231F20"/>
        </w:rPr>
        <w:t>),  especially  as  a  function</w:t>
      </w:r>
      <w:r>
        <w:rPr>
          <w:color w:val="231F20"/>
          <w:spacing w:val="-15"/>
        </w:rPr>
        <w:t> </w:t>
      </w:r>
      <w:r>
        <w:rPr>
          <w:color w:val="231F20"/>
        </w:rPr>
        <w:t>of</w:t>
      </w:r>
    </w:p>
    <w:p>
      <w:pPr>
        <w:pStyle w:val="BodyText"/>
        <w:spacing w:line="213" w:lineRule="auto" w:before="107"/>
        <w:ind w:right="155"/>
        <w:jc w:val="both"/>
      </w:pPr>
      <w:r>
        <w:rPr/>
        <w:br w:type="column"/>
      </w:r>
      <w:r>
        <w:rPr>
          <w:color w:val="231F20"/>
        </w:rPr>
        <w:t>stimulation patterns and their parameters that would form </w:t>
      </w:r>
      <w:r>
        <w:rPr>
          <w:color w:val="231F20"/>
          <w:spacing w:val="-11"/>
        </w:rPr>
        <w:t>a </w:t>
      </w:r>
      <w:r>
        <w:rPr>
          <w:color w:val="231F20"/>
        </w:rPr>
        <w:t>sound basis for the optimization of aVNS. Research-guided objectification and optimisation, as well  as  clinical  validation of stimulation parameters are necessary based on functional PET/MRI/EEG with improved spatial and time resolution, </w:t>
      </w:r>
      <w:r>
        <w:rPr>
          <w:color w:val="231F20"/>
          <w:spacing w:val="-3"/>
        </w:rPr>
        <w:t>while </w:t>
      </w:r>
      <w:r>
        <w:rPr>
          <w:color w:val="231F20"/>
        </w:rPr>
        <w:t>departing from purely empirical aVNS settings used currently for therapy in humans. In particular, parameters as intensity, duration, and timing of aVNS (i.e., neuromodulation protocols) could be optimized in </w:t>
      </w:r>
      <w:r>
        <w:rPr>
          <w:i/>
          <w:color w:val="231F20"/>
        </w:rPr>
        <w:t>in silico </w:t>
      </w:r>
      <w:r>
        <w:rPr>
          <w:color w:val="231F20"/>
        </w:rPr>
        <w:t>models, and then clinically validated in humans. The relevance and potential of a co- stimulation of non-vagal nerve endings in the auricle should be investigated further, revealing additional mechanisms of action and potential clinical applications of the electrical auricular stimulation. Possible synergetic effects of the afferent vagal and non-vagal stimulation in the cranial and spinal regions should be examined. Further research is needed to draw conclusions on efficacy and</w:t>
      </w:r>
      <w:r>
        <w:rPr>
          <w:color w:val="231F20"/>
          <w:spacing w:val="-1"/>
        </w:rPr>
        <w:t> </w:t>
      </w:r>
      <w:r>
        <w:rPr>
          <w:color w:val="231F20"/>
        </w:rPr>
        <w:t>safety.</w:t>
      </w:r>
    </w:p>
    <w:p>
      <w:pPr>
        <w:pStyle w:val="BodyText"/>
        <w:spacing w:line="213" w:lineRule="auto" w:before="15"/>
        <w:ind w:right="155" w:firstLine="229"/>
        <w:jc w:val="both"/>
      </w:pPr>
      <w:r>
        <w:rPr>
          <w:color w:val="231F20"/>
        </w:rPr>
        <w:t>Individual optimization of stimulation patterns and </w:t>
      </w:r>
      <w:r>
        <w:rPr>
          <w:color w:val="231F20"/>
          <w:spacing w:val="-4"/>
        </w:rPr>
        <w:t>their </w:t>
      </w:r>
      <w:r>
        <w:rPr>
          <w:color w:val="231F20"/>
        </w:rPr>
        <w:t>timing with respect  to  inner  body  rhythms  –  as  based  on  the closed-loop aVNS – is another fundamental research line.    A reasonable core set of sensor signals and their derived parameters should be established that best portray aVNS effects, as well as control algorithms permitting individualization at run time. Integrated sensors to track therapeutic progress and to control stimulation parameters are needed. Devices for </w:t>
      </w:r>
      <w:r>
        <w:rPr>
          <w:color w:val="231F20"/>
          <w:spacing w:val="-3"/>
        </w:rPr>
        <w:t>aVNS </w:t>
      </w:r>
      <w:r>
        <w:rPr>
          <w:color w:val="231F20"/>
        </w:rPr>
        <w:t>should be integrated in telehealth solutions for a comprehensive closed-loop therapy management. Therapeutic benefit of </w:t>
      </w:r>
      <w:r>
        <w:rPr>
          <w:color w:val="231F20"/>
          <w:spacing w:val="-4"/>
        </w:rPr>
        <w:t>the </w:t>
      </w:r>
      <w:r>
        <w:rPr>
          <w:color w:val="231F20"/>
        </w:rPr>
        <w:t>closed-loop aVNS has to be validated in relation to the open- loop aVNS.</w:t>
      </w:r>
    </w:p>
    <w:p>
      <w:pPr>
        <w:pStyle w:val="BodyText"/>
        <w:spacing w:line="213" w:lineRule="auto" w:before="13"/>
        <w:ind w:right="155" w:firstLine="229"/>
        <w:jc w:val="both"/>
      </w:pPr>
      <w:r>
        <w:rPr>
          <w:color w:val="231F20"/>
        </w:rPr>
        <w:t>Potential pairing of aVNS with other rehabilitative stimuli (</w:t>
      </w:r>
      <w:hyperlink w:history="true" w:anchor="_bookmark39">
        <w:r>
          <w:rPr>
            <w:color w:val="6D6E71"/>
          </w:rPr>
          <w:t>Hays</w:t>
        </w:r>
      </w:hyperlink>
      <w:r>
        <w:rPr>
          <w:color w:val="6D6E71"/>
        </w:rPr>
        <w:t>, </w:t>
      </w:r>
      <w:hyperlink w:history="true" w:anchor="_bookmark39">
        <w:r>
          <w:rPr>
            <w:color w:val="6D6E71"/>
          </w:rPr>
          <w:t>2015</w:t>
        </w:r>
      </w:hyperlink>
      <w:r>
        <w:rPr>
          <w:color w:val="231F20"/>
        </w:rPr>
        <w:t>) – e.g., with rehabilitative limb movements in stroke (</w:t>
      </w:r>
      <w:hyperlink w:history="true" w:anchor="_bookmark24">
        <w:r>
          <w:rPr>
            <w:color w:val="6D6E71"/>
          </w:rPr>
          <w:t>Dawson</w:t>
        </w:r>
        <w:r>
          <w:rPr>
            <w:color w:val="6D6E71"/>
            <w:spacing w:val="-8"/>
          </w:rPr>
          <w:t> </w:t>
        </w:r>
        <w:r>
          <w:rPr>
            <w:color w:val="6D6E71"/>
          </w:rPr>
          <w:t>et</w:t>
        </w:r>
        <w:r>
          <w:rPr>
            <w:color w:val="6D6E71"/>
            <w:spacing w:val="-8"/>
          </w:rPr>
          <w:t> </w:t>
        </w:r>
        <w:r>
          <w:rPr>
            <w:color w:val="6D6E71"/>
          </w:rPr>
          <w:t>al.</w:t>
        </w:r>
      </w:hyperlink>
      <w:r>
        <w:rPr>
          <w:color w:val="6D6E71"/>
        </w:rPr>
        <w:t>,</w:t>
      </w:r>
      <w:r>
        <w:rPr>
          <w:color w:val="6D6E71"/>
          <w:spacing w:val="-7"/>
        </w:rPr>
        <w:t> </w:t>
      </w:r>
      <w:hyperlink w:history="true" w:anchor="_bookmark24">
        <w:r>
          <w:rPr>
            <w:color w:val="6D6E71"/>
          </w:rPr>
          <w:t>2015</w:t>
        </w:r>
      </w:hyperlink>
      <w:r>
        <w:rPr>
          <w:color w:val="231F20"/>
        </w:rPr>
        <w:t>),</w:t>
      </w:r>
      <w:r>
        <w:rPr>
          <w:color w:val="231F20"/>
          <w:spacing w:val="-8"/>
        </w:rPr>
        <w:t> </w:t>
      </w:r>
      <w:r>
        <w:rPr>
          <w:color w:val="231F20"/>
        </w:rPr>
        <w:t>with</w:t>
      </w:r>
      <w:r>
        <w:rPr>
          <w:color w:val="231F20"/>
          <w:spacing w:val="-7"/>
        </w:rPr>
        <w:t> </w:t>
      </w:r>
      <w:r>
        <w:rPr>
          <w:color w:val="231F20"/>
        </w:rPr>
        <w:t>acoustical</w:t>
      </w:r>
      <w:r>
        <w:rPr>
          <w:color w:val="231F20"/>
          <w:spacing w:val="-8"/>
        </w:rPr>
        <w:t> </w:t>
      </w:r>
      <w:r>
        <w:rPr>
          <w:color w:val="231F20"/>
        </w:rPr>
        <w:t>tones</w:t>
      </w:r>
      <w:r>
        <w:rPr>
          <w:color w:val="231F20"/>
          <w:spacing w:val="-8"/>
        </w:rPr>
        <w:t> </w:t>
      </w:r>
      <w:r>
        <w:rPr>
          <w:color w:val="231F20"/>
        </w:rPr>
        <w:t>in</w:t>
      </w:r>
      <w:r>
        <w:rPr>
          <w:color w:val="231F20"/>
          <w:spacing w:val="-7"/>
        </w:rPr>
        <w:t> </w:t>
      </w:r>
      <w:r>
        <w:rPr>
          <w:color w:val="231F20"/>
        </w:rPr>
        <w:t>tinnitus</w:t>
      </w:r>
      <w:r>
        <w:rPr>
          <w:color w:val="231F20"/>
          <w:spacing w:val="-8"/>
        </w:rPr>
        <w:t> </w:t>
      </w:r>
      <w:r>
        <w:rPr>
          <w:color w:val="231F20"/>
        </w:rPr>
        <w:t>(</w:t>
      </w:r>
      <w:hyperlink w:history="true" w:anchor="_bookmark25">
        <w:r>
          <w:rPr>
            <w:color w:val="6D6E71"/>
          </w:rPr>
          <w:t>De</w:t>
        </w:r>
        <w:r>
          <w:rPr>
            <w:color w:val="6D6E71"/>
            <w:spacing w:val="-7"/>
          </w:rPr>
          <w:t> </w:t>
        </w:r>
        <w:r>
          <w:rPr>
            <w:color w:val="6D6E71"/>
            <w:spacing w:val="-3"/>
          </w:rPr>
          <w:t>Ridder</w:t>
        </w:r>
      </w:hyperlink>
      <w:r>
        <w:rPr>
          <w:color w:val="6D6E71"/>
          <w:spacing w:val="-3"/>
        </w:rPr>
        <w:t> </w:t>
      </w:r>
      <w:hyperlink w:history="true" w:anchor="_bookmark25">
        <w:r>
          <w:rPr>
            <w:color w:val="6D6E71"/>
          </w:rPr>
          <w:t>et al.</w:t>
        </w:r>
      </w:hyperlink>
      <w:r>
        <w:rPr>
          <w:color w:val="6D6E71"/>
        </w:rPr>
        <w:t>, </w:t>
      </w:r>
      <w:hyperlink w:history="true" w:anchor="_bookmark25">
        <w:r>
          <w:rPr>
            <w:color w:val="6D6E71"/>
          </w:rPr>
          <w:t>2013</w:t>
        </w:r>
      </w:hyperlink>
      <w:r>
        <w:rPr>
          <w:color w:val="231F20"/>
        </w:rPr>
        <w:t>), or with extinction training (</w:t>
      </w:r>
      <w:hyperlink w:history="true" w:anchor="_bookmark74">
        <w:r>
          <w:rPr>
            <w:color w:val="6D6E71"/>
          </w:rPr>
          <w:t>Peña et al.</w:t>
        </w:r>
      </w:hyperlink>
      <w:r>
        <w:rPr>
          <w:color w:val="6D6E71"/>
        </w:rPr>
        <w:t>, </w:t>
      </w:r>
      <w:hyperlink w:history="true" w:anchor="_bookmark74">
        <w:r>
          <w:rPr>
            <w:color w:val="6D6E71"/>
          </w:rPr>
          <w:t>2012</w:t>
        </w:r>
      </w:hyperlink>
      <w:r>
        <w:rPr>
          <w:color w:val="231F20"/>
        </w:rPr>
        <w:t>) </w:t>
      </w:r>
      <w:r>
        <w:rPr>
          <w:color w:val="231F20"/>
          <w:spacing w:val="-14"/>
        </w:rPr>
        <w:t>– </w:t>
      </w:r>
      <w:r>
        <w:rPr>
          <w:color w:val="231F20"/>
        </w:rPr>
        <w:t>should be investigated as promising option to increase efficacy of aVNS. This pairing is suggested to create targeted and correct maladaptive plasticity in the brain (</w:t>
      </w:r>
      <w:hyperlink w:history="true" w:anchor="_bookmark57">
        <w:r>
          <w:rPr>
            <w:color w:val="6D6E71"/>
          </w:rPr>
          <w:t>Lehtimaki et al.</w:t>
        </w:r>
      </w:hyperlink>
      <w:r>
        <w:rPr>
          <w:color w:val="6D6E71"/>
        </w:rPr>
        <w:t>,</w:t>
      </w:r>
      <w:r>
        <w:rPr>
          <w:color w:val="6D6E71"/>
          <w:spacing w:val="-1"/>
        </w:rPr>
        <w:t> </w:t>
      </w:r>
      <w:hyperlink w:history="true" w:anchor="_bookmark57">
        <w:r>
          <w:rPr>
            <w:color w:val="6D6E71"/>
          </w:rPr>
          <w:t>2012</w:t>
        </w:r>
      </w:hyperlink>
      <w:r>
        <w:rPr>
          <w:color w:val="231F20"/>
        </w:rPr>
        <w:t>).</w:t>
      </w:r>
    </w:p>
    <w:p>
      <w:pPr>
        <w:pStyle w:val="BodyText"/>
        <w:spacing w:line="213" w:lineRule="auto" w:before="7"/>
        <w:ind w:right="155" w:firstLine="229"/>
        <w:jc w:val="both"/>
      </w:pPr>
      <w:r>
        <w:rPr>
          <w:color w:val="231F20"/>
        </w:rPr>
        <w:t>Easy-to-assess surrogate parameters and biomarkers </w:t>
      </w:r>
      <w:r>
        <w:rPr>
          <w:color w:val="231F20"/>
          <w:spacing w:val="-3"/>
        </w:rPr>
        <w:t>should </w:t>
      </w:r>
      <w:r>
        <w:rPr>
          <w:color w:val="231F20"/>
        </w:rPr>
        <w:t>be derived to differentiate between aVNS responders and </w:t>
      </w:r>
      <w:r>
        <w:rPr>
          <w:color w:val="231F20"/>
          <w:spacing w:val="-3"/>
        </w:rPr>
        <w:t>non- </w:t>
      </w:r>
      <w:r>
        <w:rPr>
          <w:color w:val="231F20"/>
        </w:rPr>
        <w:t>responders; e.g., VNS-induced release of norepinephrine </w:t>
      </w:r>
      <w:r>
        <w:rPr>
          <w:color w:val="231F20"/>
          <w:spacing w:val="-6"/>
        </w:rPr>
        <w:t>was </w:t>
      </w:r>
      <w:r>
        <w:rPr>
          <w:color w:val="231F20"/>
        </w:rPr>
        <w:t>shown as a marker for seizure suppression (</w:t>
      </w:r>
      <w:hyperlink w:history="true" w:anchor="_bookmark77">
        <w:r>
          <w:rPr>
            <w:color w:val="6D6E71"/>
          </w:rPr>
          <w:t>Raedt et al.</w:t>
        </w:r>
      </w:hyperlink>
      <w:r>
        <w:rPr>
          <w:color w:val="6D6E71"/>
        </w:rPr>
        <w:t>, </w:t>
      </w:r>
      <w:hyperlink w:history="true" w:anchor="_bookmark77">
        <w:r>
          <w:rPr>
            <w:color w:val="6D6E71"/>
            <w:spacing w:val="-3"/>
          </w:rPr>
          <w:t>2011</w:t>
        </w:r>
      </w:hyperlink>
      <w:r>
        <w:rPr>
          <w:color w:val="231F20"/>
          <w:spacing w:val="-3"/>
        </w:rPr>
        <w:t>). </w:t>
      </w:r>
      <w:r>
        <w:rPr>
          <w:color w:val="231F20"/>
        </w:rPr>
        <w:t>Non-invasive markers of brainstem modulation by aVNS may include </w:t>
      </w:r>
      <w:r>
        <w:rPr>
          <w:color w:val="231F20"/>
          <w:spacing w:val="-4"/>
        </w:rPr>
        <w:t>HRV </w:t>
      </w:r>
      <w:r>
        <w:rPr>
          <w:color w:val="231F20"/>
        </w:rPr>
        <w:t>as a potential candidate; e.g., stronger variability and higher vagal tone were observed in the responder group      to VNS treatment (</w:t>
      </w:r>
      <w:hyperlink w:history="true" w:anchor="_bookmark59">
        <w:r>
          <w:rPr>
            <w:color w:val="6D6E71"/>
          </w:rPr>
          <w:t>Liu et al.</w:t>
        </w:r>
      </w:hyperlink>
      <w:r>
        <w:rPr>
          <w:color w:val="6D6E71"/>
        </w:rPr>
        <w:t>, </w:t>
      </w:r>
      <w:hyperlink w:history="true" w:anchor="_bookmark59">
        <w:r>
          <w:rPr>
            <w:color w:val="6D6E71"/>
          </w:rPr>
          <w:t>2017</w:t>
        </w:r>
      </w:hyperlink>
      <w:r>
        <w:rPr>
          <w:color w:val="231F20"/>
        </w:rPr>
        <w:t>), as well as event related potentials (</w:t>
      </w:r>
      <w:hyperlink w:history="true" w:anchor="_bookmark26">
        <w:r>
          <w:rPr>
            <w:color w:val="6D6E71"/>
          </w:rPr>
          <w:t>De </w:t>
        </w:r>
        <w:r>
          <w:rPr>
            <w:color w:val="6D6E71"/>
            <w:spacing w:val="-4"/>
          </w:rPr>
          <w:t>Taeye </w:t>
        </w:r>
        <w:r>
          <w:rPr>
            <w:color w:val="6D6E71"/>
          </w:rPr>
          <w:t>et  al.</w:t>
        </w:r>
      </w:hyperlink>
      <w:r>
        <w:rPr>
          <w:color w:val="6D6E71"/>
        </w:rPr>
        <w:t>,  </w:t>
      </w:r>
      <w:hyperlink w:history="true" w:anchor="_bookmark26">
        <w:r>
          <w:rPr>
            <w:color w:val="6D6E71"/>
          </w:rPr>
          <w:t>2014</w:t>
        </w:r>
      </w:hyperlink>
      <w:r>
        <w:rPr>
          <w:color w:val="231F20"/>
        </w:rPr>
        <w:t>),  pupillary  diameter  </w:t>
      </w:r>
      <w:r>
        <w:rPr>
          <w:color w:val="231F20"/>
          <w:spacing w:val="-3"/>
        </w:rPr>
        <w:t>(</w:t>
      </w:r>
      <w:hyperlink w:history="true" w:anchor="_bookmark43">
        <w:r>
          <w:rPr>
            <w:color w:val="6D6E71"/>
            <w:spacing w:val="-3"/>
          </w:rPr>
          <w:t>Jodoin</w:t>
        </w:r>
      </w:hyperlink>
      <w:r>
        <w:rPr>
          <w:color w:val="6D6E71"/>
          <w:spacing w:val="-3"/>
        </w:rPr>
        <w:t> </w:t>
      </w:r>
      <w:hyperlink w:history="true" w:anchor="_bookmark43">
        <w:r>
          <w:rPr>
            <w:color w:val="6D6E71"/>
          </w:rPr>
          <w:t>et</w:t>
        </w:r>
        <w:r>
          <w:rPr>
            <w:color w:val="6D6E71"/>
            <w:spacing w:val="-8"/>
          </w:rPr>
          <w:t> </w:t>
        </w:r>
        <w:r>
          <w:rPr>
            <w:color w:val="6D6E71"/>
          </w:rPr>
          <w:t>al.</w:t>
        </w:r>
      </w:hyperlink>
      <w:r>
        <w:rPr>
          <w:color w:val="6D6E71"/>
        </w:rPr>
        <w:t>,</w:t>
      </w:r>
      <w:r>
        <w:rPr>
          <w:color w:val="6D6E71"/>
          <w:spacing w:val="-7"/>
        </w:rPr>
        <w:t> </w:t>
      </w:r>
      <w:hyperlink w:history="true" w:anchor="_bookmark43">
        <w:r>
          <w:rPr>
            <w:color w:val="6D6E71"/>
          </w:rPr>
          <w:t>2015</w:t>
        </w:r>
      </w:hyperlink>
      <w:r>
        <w:rPr>
          <w:color w:val="231F20"/>
        </w:rPr>
        <w:t>),</w:t>
      </w:r>
      <w:r>
        <w:rPr>
          <w:color w:val="231F20"/>
          <w:spacing w:val="-8"/>
        </w:rPr>
        <w:t> </w:t>
      </w:r>
      <w:r>
        <w:rPr>
          <w:color w:val="231F20"/>
        </w:rPr>
        <w:t>and</w:t>
      </w:r>
      <w:r>
        <w:rPr>
          <w:color w:val="231F20"/>
          <w:spacing w:val="-7"/>
        </w:rPr>
        <w:t> </w:t>
      </w:r>
      <w:r>
        <w:rPr>
          <w:color w:val="231F20"/>
        </w:rPr>
        <w:t>others</w:t>
      </w:r>
      <w:r>
        <w:rPr>
          <w:color w:val="231F20"/>
          <w:spacing w:val="-8"/>
        </w:rPr>
        <w:t> </w:t>
      </w:r>
      <w:r>
        <w:rPr>
          <w:color w:val="231F20"/>
        </w:rPr>
        <w:t>(</w:t>
      </w:r>
      <w:hyperlink w:history="true" w:anchor="_bookmark64">
        <w:r>
          <w:rPr>
            <w:color w:val="6D6E71"/>
          </w:rPr>
          <w:t>Mertens</w:t>
        </w:r>
        <w:r>
          <w:rPr>
            <w:color w:val="6D6E71"/>
            <w:spacing w:val="-7"/>
          </w:rPr>
          <w:t> </w:t>
        </w:r>
        <w:r>
          <w:rPr>
            <w:color w:val="6D6E71"/>
          </w:rPr>
          <w:t>et</w:t>
        </w:r>
        <w:r>
          <w:rPr>
            <w:color w:val="6D6E71"/>
            <w:spacing w:val="-8"/>
          </w:rPr>
          <w:t> </w:t>
        </w:r>
        <w:r>
          <w:rPr>
            <w:color w:val="6D6E71"/>
          </w:rPr>
          <w:t>al.</w:t>
        </w:r>
      </w:hyperlink>
      <w:r>
        <w:rPr>
          <w:color w:val="6D6E71"/>
        </w:rPr>
        <w:t>,</w:t>
      </w:r>
      <w:r>
        <w:rPr>
          <w:color w:val="6D6E71"/>
          <w:spacing w:val="-7"/>
        </w:rPr>
        <w:t> </w:t>
      </w:r>
      <w:hyperlink w:history="true" w:anchor="_bookmark64">
        <w:r>
          <w:rPr>
            <w:color w:val="6D6E71"/>
          </w:rPr>
          <w:t>2018</w:t>
        </w:r>
      </w:hyperlink>
      <w:r>
        <w:rPr>
          <w:color w:val="231F20"/>
        </w:rPr>
        <w:t>).</w:t>
      </w:r>
      <w:r>
        <w:rPr>
          <w:color w:val="231F20"/>
          <w:spacing w:val="-8"/>
        </w:rPr>
        <w:t> </w:t>
      </w:r>
      <w:r>
        <w:rPr>
          <w:color w:val="231F20"/>
        </w:rPr>
        <w:t>Objective</w:t>
      </w:r>
      <w:r>
        <w:rPr>
          <w:color w:val="231F20"/>
          <w:spacing w:val="-7"/>
        </w:rPr>
        <w:t> </w:t>
      </w:r>
      <w:r>
        <w:rPr>
          <w:color w:val="231F20"/>
        </w:rPr>
        <w:t>surrogate parameters could be even more useful to select responders than, for instance, subjective pain scores, especially for late responders to pain therapy.</w:t>
      </w:r>
    </w:p>
    <w:p>
      <w:pPr>
        <w:pStyle w:val="BodyText"/>
        <w:spacing w:before="4"/>
        <w:ind w:left="0"/>
        <w:rPr>
          <w:sz w:val="33"/>
        </w:rPr>
      </w:pPr>
    </w:p>
    <w:p>
      <w:pPr>
        <w:pStyle w:val="Heading1"/>
      </w:pPr>
      <w:bookmarkStart w:name="Conclusion" w:id="20"/>
      <w:bookmarkEnd w:id="20"/>
      <w:r>
        <w:rPr/>
      </w:r>
      <w:r>
        <w:rPr>
          <w:color w:val="231F20"/>
        </w:rPr>
        <w:t>CONCLUSION</w:t>
      </w:r>
    </w:p>
    <w:p>
      <w:pPr>
        <w:pStyle w:val="BodyText"/>
        <w:spacing w:line="213" w:lineRule="auto" w:before="205"/>
        <w:ind w:right="155"/>
        <w:jc w:val="both"/>
      </w:pPr>
      <w:r>
        <w:rPr>
          <w:color w:val="231F20"/>
        </w:rPr>
        <w:t>Auricular vagus nerve stimulation gains importance as </w:t>
      </w:r>
      <w:r>
        <w:rPr>
          <w:color w:val="231F20"/>
          <w:spacing w:val="-13"/>
        </w:rPr>
        <w:t>a </w:t>
      </w:r>
      <w:r>
        <w:rPr>
          <w:color w:val="231F20"/>
        </w:rPr>
        <w:t>significant part of bioelectronics medicine in therapy, using easily  controllable  digital  doses  of  electrical  pulses  instead   of pharmaceutical drugs. Electroceuticals for aVNS</w:t>
      </w:r>
      <w:r>
        <w:rPr>
          <w:color w:val="231F20"/>
          <w:spacing w:val="9"/>
        </w:rPr>
        <w:t> </w:t>
      </w:r>
      <w:r>
        <w:rPr>
          <w:color w:val="231F20"/>
          <w:spacing w:val="-3"/>
        </w:rPr>
        <w:t>provides</w:t>
      </w:r>
    </w:p>
    <w:p>
      <w:pPr>
        <w:spacing w:after="0" w:line="213" w:lineRule="auto"/>
        <w:jc w:val="both"/>
        <w:sectPr>
          <w:type w:val="continuous"/>
          <w:pgSz w:w="11910" w:h="15600"/>
          <w:pgMar w:top="520" w:bottom="780" w:left="740" w:right="740"/>
          <w:cols w:num="2" w:equalWidth="0">
            <w:col w:w="5095" w:space="79"/>
            <w:col w:w="5256"/>
          </w:cols>
        </w:sectPr>
      </w:pPr>
    </w:p>
    <w:p>
      <w:pPr>
        <w:pStyle w:val="BodyText"/>
        <w:spacing w:before="7"/>
        <w:ind w:left="0"/>
      </w:pPr>
    </w:p>
    <w:p>
      <w:pPr>
        <w:spacing w:after="0"/>
        <w:sectPr>
          <w:pgSz w:w="11910" w:h="15600"/>
          <w:pgMar w:header="560" w:footer="588" w:top="840" w:bottom="780" w:left="740" w:right="740"/>
        </w:sectPr>
      </w:pPr>
    </w:p>
    <w:p>
      <w:pPr>
        <w:pStyle w:val="BodyText"/>
        <w:spacing w:line="213" w:lineRule="auto" w:before="107"/>
        <w:jc w:val="both"/>
      </w:pPr>
      <w:r>
        <w:rPr>
          <w:color w:val="231F20"/>
        </w:rPr>
        <w:t>promising means to modulate signaling between brain </w:t>
      </w:r>
      <w:r>
        <w:rPr>
          <w:color w:val="231F20"/>
          <w:spacing w:val="-6"/>
        </w:rPr>
        <w:t>and </w:t>
      </w:r>
      <w:r>
        <w:rPr>
          <w:color w:val="231F20"/>
        </w:rPr>
        <w:t>periphery and thereby offers a window of opportunity for a disease-fighting effect on several disorders. aVNS is promising for systemic treatment, which can be easily interrupted, avoids severe side-effects, and is well-tolerated by patients. Currently, robust and validated stimulation protocols that are tuned </w:t>
      </w:r>
      <w:r>
        <w:rPr>
          <w:color w:val="231F20"/>
          <w:spacing w:val="-7"/>
        </w:rPr>
        <w:t>to </w:t>
      </w:r>
      <w:r>
        <w:rPr>
          <w:color w:val="231F20"/>
        </w:rPr>
        <w:t>specific targeted physiological responses remain a great </w:t>
      </w:r>
      <w:r>
        <w:rPr>
          <w:color w:val="231F20"/>
          <w:spacing w:val="-3"/>
        </w:rPr>
        <w:t>challenge </w:t>
      </w:r>
      <w:r>
        <w:rPr>
          <w:color w:val="231F20"/>
        </w:rPr>
        <w:t>in aVNS engineering. Beyond that a closed-loop aVNS needs to be established to account for individual physiological variability.</w:t>
      </w:r>
    </w:p>
    <w:p>
      <w:pPr>
        <w:pStyle w:val="BodyText"/>
        <w:spacing w:before="8"/>
        <w:ind w:left="0"/>
        <w:rPr>
          <w:sz w:val="29"/>
        </w:rPr>
      </w:pPr>
    </w:p>
    <w:p>
      <w:pPr>
        <w:pStyle w:val="Heading1"/>
        <w:spacing w:before="1"/>
      </w:pPr>
      <w:bookmarkStart w:name="Author Contributions" w:id="21"/>
      <w:bookmarkEnd w:id="21"/>
      <w:r>
        <w:rPr/>
      </w:r>
      <w:r>
        <w:rPr>
          <w:color w:val="231F20"/>
        </w:rPr>
        <w:t>AUTHOR CONTRIBUTIONS</w:t>
      </w:r>
    </w:p>
    <w:p>
      <w:pPr>
        <w:pStyle w:val="BodyText"/>
        <w:spacing w:line="213" w:lineRule="auto" w:before="204"/>
        <w:jc w:val="both"/>
      </w:pPr>
      <w:r>
        <w:rPr>
          <w:color w:val="231F20"/>
        </w:rPr>
        <w:t>EK, SK, </w:t>
      </w:r>
      <w:r>
        <w:rPr>
          <w:color w:val="231F20"/>
          <w:spacing w:val="-7"/>
        </w:rPr>
        <w:t>MT, </w:t>
      </w:r>
      <w:r>
        <w:rPr>
          <w:color w:val="231F20"/>
        </w:rPr>
        <w:t>and JS contributed to conception and design of </w:t>
      </w:r>
      <w:r>
        <w:rPr>
          <w:color w:val="231F20"/>
          <w:spacing w:val="-5"/>
        </w:rPr>
        <w:t>the </w:t>
      </w:r>
      <w:r>
        <w:rPr>
          <w:color w:val="231F20"/>
        </w:rPr>
        <w:t>review. EK wrote the first draft of the manuscript. EK and SK performed the initial literature review. FP and MP contributed to anatomical sections of the manuscript. </w:t>
      </w:r>
      <w:r>
        <w:rPr>
          <w:color w:val="231F20"/>
          <w:spacing w:val="-7"/>
        </w:rPr>
        <w:t>MT,  </w:t>
      </w:r>
      <w:r>
        <w:rPr>
          <w:color w:val="231F20"/>
        </w:rPr>
        <w:t>RG,  WK,  </w:t>
      </w:r>
      <w:r>
        <w:rPr>
          <w:color w:val="231F20"/>
          <w:spacing w:val="-5"/>
        </w:rPr>
        <w:t>and </w:t>
      </w:r>
      <w:r>
        <w:rPr>
          <w:color w:val="231F20"/>
        </w:rPr>
        <w:t>GV contributed to biological sections of the  manuscript.  </w:t>
      </w:r>
      <w:r>
        <w:rPr>
          <w:color w:val="231F20"/>
          <w:spacing w:val="-8"/>
        </w:rPr>
        <w:t>SK  </w:t>
      </w:r>
      <w:r>
        <w:rPr>
          <w:color w:val="231F20"/>
        </w:rPr>
        <w:t>and</w:t>
      </w:r>
      <w:r>
        <w:rPr>
          <w:color w:val="231F20"/>
          <w:spacing w:val="7"/>
        </w:rPr>
        <w:t> </w:t>
      </w:r>
      <w:r>
        <w:rPr>
          <w:color w:val="231F20"/>
        </w:rPr>
        <w:t>SL</w:t>
      </w:r>
      <w:r>
        <w:rPr>
          <w:color w:val="231F20"/>
          <w:spacing w:val="8"/>
        </w:rPr>
        <w:t> </w:t>
      </w:r>
      <w:r>
        <w:rPr>
          <w:color w:val="231F20"/>
        </w:rPr>
        <w:t>contributed</w:t>
      </w:r>
      <w:r>
        <w:rPr>
          <w:color w:val="231F20"/>
          <w:spacing w:val="7"/>
        </w:rPr>
        <w:t> </w:t>
      </w:r>
      <w:r>
        <w:rPr>
          <w:color w:val="231F20"/>
        </w:rPr>
        <w:t>to</w:t>
      </w:r>
      <w:r>
        <w:rPr>
          <w:color w:val="231F20"/>
          <w:spacing w:val="8"/>
        </w:rPr>
        <w:t> </w:t>
      </w:r>
      <w:r>
        <w:rPr>
          <w:color w:val="231F20"/>
        </w:rPr>
        <w:t>regulatory</w:t>
      </w:r>
      <w:r>
        <w:rPr>
          <w:color w:val="231F20"/>
          <w:spacing w:val="7"/>
        </w:rPr>
        <w:t> </w:t>
      </w:r>
      <w:r>
        <w:rPr>
          <w:color w:val="231F20"/>
        </w:rPr>
        <w:t>section</w:t>
      </w:r>
      <w:r>
        <w:rPr>
          <w:color w:val="231F20"/>
          <w:spacing w:val="8"/>
        </w:rPr>
        <w:t> </w:t>
      </w:r>
      <w:r>
        <w:rPr>
          <w:color w:val="231F20"/>
        </w:rPr>
        <w:t>of</w:t>
      </w:r>
      <w:r>
        <w:rPr>
          <w:color w:val="231F20"/>
          <w:spacing w:val="7"/>
        </w:rPr>
        <w:t> </w:t>
      </w:r>
      <w:r>
        <w:rPr>
          <w:color w:val="231F20"/>
        </w:rPr>
        <w:t>the</w:t>
      </w:r>
      <w:r>
        <w:rPr>
          <w:color w:val="231F20"/>
          <w:spacing w:val="8"/>
        </w:rPr>
        <w:t> </w:t>
      </w:r>
      <w:r>
        <w:rPr>
          <w:color w:val="231F20"/>
        </w:rPr>
        <w:t>manuscript.</w:t>
      </w:r>
      <w:r>
        <w:rPr>
          <w:color w:val="231F20"/>
          <w:spacing w:val="9"/>
        </w:rPr>
        <w:t> </w:t>
      </w:r>
      <w:r>
        <w:rPr>
          <w:color w:val="231F20"/>
        </w:rPr>
        <w:t>AC,</w:t>
      </w:r>
    </w:p>
    <w:p>
      <w:pPr>
        <w:pStyle w:val="BodyText"/>
        <w:spacing w:line="213" w:lineRule="auto" w:before="107"/>
        <w:ind w:right="155"/>
        <w:jc w:val="both"/>
      </w:pPr>
      <w:r>
        <w:rPr/>
        <w:br w:type="column"/>
      </w:r>
      <w:r>
        <w:rPr>
          <w:color w:val="231F20"/>
          <w:spacing w:val="-7"/>
        </w:rPr>
        <w:t>ET, </w:t>
      </w:r>
      <w:r>
        <w:rPr>
          <w:color w:val="231F20"/>
        </w:rPr>
        <w:t>AS, </w:t>
      </w:r>
      <w:r>
        <w:rPr>
          <w:color w:val="231F20"/>
          <w:spacing w:val="-5"/>
        </w:rPr>
        <w:t>TT, </w:t>
      </w:r>
      <w:r>
        <w:rPr>
          <w:color w:val="231F20"/>
        </w:rPr>
        <w:t>and WJ contributed to numerical section of the manuscript. VM and AL contributed to sections on personalized stimulation. NI and AŠ contributed to engineering sections </w:t>
      </w:r>
      <w:r>
        <w:rPr>
          <w:color w:val="231F20"/>
          <w:spacing w:val="-7"/>
        </w:rPr>
        <w:t>on </w:t>
      </w:r>
      <w:r>
        <w:rPr>
          <w:color w:val="231F20"/>
        </w:rPr>
        <w:t>the manuscript. AK and BP contributed to clinical sections of</w:t>
      </w:r>
      <w:r>
        <w:rPr>
          <w:color w:val="231F20"/>
          <w:spacing w:val="-29"/>
        </w:rPr>
        <w:t> </w:t>
      </w:r>
      <w:r>
        <w:rPr>
          <w:color w:val="231F20"/>
        </w:rPr>
        <w:t>the manuscript.</w:t>
      </w:r>
      <w:r>
        <w:rPr>
          <w:color w:val="231F20"/>
          <w:spacing w:val="-9"/>
        </w:rPr>
        <w:t> </w:t>
      </w:r>
      <w:r>
        <w:rPr>
          <w:color w:val="231F20"/>
        </w:rPr>
        <w:t>All</w:t>
      </w:r>
      <w:r>
        <w:rPr>
          <w:color w:val="231F20"/>
          <w:spacing w:val="-8"/>
        </w:rPr>
        <w:t> </w:t>
      </w:r>
      <w:r>
        <w:rPr>
          <w:color w:val="231F20"/>
        </w:rPr>
        <w:t>authors</w:t>
      </w:r>
      <w:r>
        <w:rPr>
          <w:color w:val="231F20"/>
          <w:spacing w:val="-8"/>
        </w:rPr>
        <w:t> </w:t>
      </w:r>
      <w:r>
        <w:rPr>
          <w:color w:val="231F20"/>
        </w:rPr>
        <w:t>contributed</w:t>
      </w:r>
      <w:r>
        <w:rPr>
          <w:color w:val="231F20"/>
          <w:spacing w:val="-8"/>
        </w:rPr>
        <w:t> </w:t>
      </w:r>
      <w:r>
        <w:rPr>
          <w:color w:val="231F20"/>
        </w:rPr>
        <w:t>to</w:t>
      </w:r>
      <w:r>
        <w:rPr>
          <w:color w:val="231F20"/>
          <w:spacing w:val="-8"/>
        </w:rPr>
        <w:t> </w:t>
      </w:r>
      <w:r>
        <w:rPr>
          <w:color w:val="231F20"/>
        </w:rPr>
        <w:t>manuscript</w:t>
      </w:r>
      <w:r>
        <w:rPr>
          <w:color w:val="231F20"/>
          <w:spacing w:val="-8"/>
        </w:rPr>
        <w:t> </w:t>
      </w:r>
      <w:r>
        <w:rPr>
          <w:color w:val="231F20"/>
        </w:rPr>
        <w:t>revision,</w:t>
      </w:r>
      <w:r>
        <w:rPr>
          <w:color w:val="231F20"/>
          <w:spacing w:val="-8"/>
        </w:rPr>
        <w:t> </w:t>
      </w:r>
      <w:r>
        <w:rPr>
          <w:color w:val="231F20"/>
        </w:rPr>
        <w:t>read, and approved the submitted</w:t>
      </w:r>
      <w:r>
        <w:rPr>
          <w:color w:val="231F20"/>
          <w:spacing w:val="-1"/>
        </w:rPr>
        <w:t> </w:t>
      </w:r>
      <w:r>
        <w:rPr>
          <w:color w:val="231F20"/>
        </w:rPr>
        <w:t>version.</w:t>
      </w:r>
    </w:p>
    <w:p>
      <w:pPr>
        <w:pStyle w:val="BodyText"/>
        <w:spacing w:before="5"/>
        <w:ind w:left="0"/>
        <w:rPr>
          <w:sz w:val="29"/>
        </w:rPr>
      </w:pPr>
    </w:p>
    <w:p>
      <w:pPr>
        <w:pStyle w:val="Heading1"/>
        <w:spacing w:before="1"/>
      </w:pPr>
      <w:bookmarkStart w:name="Acknowledgments" w:id="22"/>
      <w:bookmarkEnd w:id="22"/>
      <w:r>
        <w:rPr/>
      </w:r>
      <w:r>
        <w:rPr>
          <w:color w:val="231F20"/>
        </w:rPr>
        <w:t>ACKNOWLEDGMENTS</w:t>
      </w:r>
    </w:p>
    <w:p>
      <w:pPr>
        <w:pStyle w:val="BodyText"/>
        <w:spacing w:line="213" w:lineRule="auto" w:before="204"/>
        <w:ind w:right="155"/>
        <w:jc w:val="both"/>
      </w:pPr>
      <w:r>
        <w:rPr>
          <w:color w:val="231F20"/>
        </w:rPr>
        <w:t>The authors would like to acknowledge  the  networking  support from the COST (European Cooperation  in  Science  and Technology) Action EMF-MED, the Austrian Research Promotion  Agency,  and  the  TU  Wien   University   Library for their financial support through its Open Access Funding Program. Special thanks also to Univ. Prof. Dr. Wolfgang Weninger from the Center for Anatomy and Cell Biology, Medical   University   of   Vienna,   for   providing    episcopic ear</w:t>
      </w:r>
      <w:r>
        <w:rPr>
          <w:color w:val="231F20"/>
          <w:spacing w:val="-1"/>
        </w:rPr>
        <w:t> </w:t>
      </w:r>
      <w:r>
        <w:rPr>
          <w:color w:val="231F20"/>
        </w:rPr>
        <w:t>images.</w:t>
      </w:r>
    </w:p>
    <w:p>
      <w:pPr>
        <w:spacing w:after="0" w:line="213" w:lineRule="auto"/>
        <w:jc w:val="both"/>
        <w:sectPr>
          <w:type w:val="continuous"/>
          <w:pgSz w:w="11910" w:h="15600"/>
          <w:pgMar w:top="520" w:bottom="780" w:left="740" w:right="740"/>
          <w:cols w:num="2" w:equalWidth="0">
            <w:col w:w="5095" w:space="79"/>
            <w:col w:w="5256"/>
          </w:cols>
        </w:sectPr>
      </w:pPr>
    </w:p>
    <w:p>
      <w:pPr>
        <w:pStyle w:val="BodyText"/>
        <w:spacing w:before="3"/>
        <w:ind w:left="0"/>
        <w:rPr>
          <w:sz w:val="23"/>
        </w:rPr>
      </w:pPr>
    </w:p>
    <w:p>
      <w:pPr>
        <w:spacing w:after="0"/>
        <w:rPr>
          <w:sz w:val="23"/>
        </w:rPr>
        <w:sectPr>
          <w:type w:val="continuous"/>
          <w:pgSz w:w="11910" w:h="15600"/>
          <w:pgMar w:top="520" w:bottom="780" w:left="740" w:right="740"/>
        </w:sectPr>
      </w:pPr>
    </w:p>
    <w:p>
      <w:pPr>
        <w:pStyle w:val="Heading1"/>
        <w:spacing w:before="109"/>
      </w:pPr>
      <w:bookmarkStart w:name="References" w:id="23"/>
      <w:bookmarkEnd w:id="23"/>
      <w:r>
        <w:rPr/>
      </w:r>
      <w:r>
        <w:rPr>
          <w:color w:val="231F20"/>
        </w:rPr>
        <w:t>REFERENCES</w:t>
      </w:r>
    </w:p>
    <w:p>
      <w:pPr>
        <w:spacing w:line="223" w:lineRule="auto" w:before="154"/>
        <w:ind w:left="358" w:right="0" w:hanging="200"/>
        <w:jc w:val="both"/>
        <w:rPr>
          <w:sz w:val="15"/>
        </w:rPr>
      </w:pPr>
      <w:bookmarkStart w:name="_bookmark6" w:id="24"/>
      <w:bookmarkEnd w:id="24"/>
      <w:r>
        <w:rPr/>
      </w:r>
      <w:r>
        <w:rPr>
          <w:color w:val="231F20"/>
          <w:sz w:val="15"/>
        </w:rPr>
        <w:t>Alvord, L. S., and Farmer, B. L. (1998). Anatomy and orientation of the human</w:t>
      </w:r>
      <w:bookmarkStart w:name="_bookmark7" w:id="25"/>
      <w:bookmarkEnd w:id="25"/>
      <w:r>
        <w:rPr>
          <w:color w:val="231F20"/>
          <w:sz w:val="15"/>
        </w:rPr>
      </w:r>
      <w:r>
        <w:rPr>
          <w:color w:val="231F20"/>
          <w:sz w:val="15"/>
        </w:rPr>
        <w:t> external ear. </w:t>
      </w:r>
      <w:r>
        <w:rPr>
          <w:i/>
          <w:color w:val="231F20"/>
          <w:sz w:val="15"/>
        </w:rPr>
        <w:t>J. Am. Acad. Audiol. </w:t>
      </w:r>
      <w:r>
        <w:rPr>
          <w:color w:val="231F20"/>
          <w:sz w:val="15"/>
        </w:rPr>
        <w:t>8, 383–390.</w:t>
      </w:r>
    </w:p>
    <w:p>
      <w:pPr>
        <w:spacing w:line="223" w:lineRule="auto" w:before="0"/>
        <w:ind w:left="358" w:right="0" w:hanging="200"/>
        <w:jc w:val="both"/>
        <w:rPr>
          <w:sz w:val="15"/>
        </w:rPr>
      </w:pPr>
      <w:r>
        <w:rPr>
          <w:color w:val="231F20"/>
          <w:sz w:val="15"/>
        </w:rPr>
        <w:t>Badran, B. W., Brown, J. C., Dowdle, L. T., Mithoefer, O. J., LaBate, N. T., Coatsworth, J., et al. (2018a). Tragus or cymba conchae? Investigating the anatomical foundation of transcutaneous auricular vagus nerve stimulation</w:t>
      </w:r>
      <w:bookmarkStart w:name="_bookmark8" w:id="26"/>
      <w:bookmarkEnd w:id="26"/>
      <w:r>
        <w:rPr>
          <w:color w:val="231F20"/>
          <w:sz w:val="15"/>
        </w:rPr>
      </w:r>
      <w:r>
        <w:rPr>
          <w:color w:val="231F20"/>
          <w:sz w:val="15"/>
        </w:rPr>
        <w:t> (taVNS). </w:t>
      </w:r>
      <w:r>
        <w:rPr>
          <w:i/>
          <w:color w:val="231F20"/>
          <w:sz w:val="15"/>
        </w:rPr>
        <w:t>Brain Stimul. </w:t>
      </w:r>
      <w:hyperlink r:id="rId47">
        <w:r>
          <w:rPr>
            <w:color w:val="231F20"/>
            <w:sz w:val="15"/>
          </w:rPr>
          <w:t>11, 947–948. doi: 10.1016/j.brs.2018.06.003</w:t>
        </w:r>
      </w:hyperlink>
    </w:p>
    <w:p>
      <w:pPr>
        <w:spacing w:line="223" w:lineRule="auto" w:before="3"/>
        <w:ind w:left="358" w:right="0" w:hanging="200"/>
        <w:jc w:val="both"/>
        <w:rPr>
          <w:sz w:val="15"/>
        </w:rPr>
      </w:pPr>
      <w:r>
        <w:rPr>
          <w:color w:val="231F20"/>
          <w:sz w:val="15"/>
        </w:rPr>
        <w:t>Badran, B. W., Mithoefer, O. J., Summer, C. E., LaBate, N. T., Glusman, C. E., Badran, A. W., et al. (2018b). Short trains of transcutaneous auricular vagus nerve stimulation (taVNS) have parameter-specific effects on heart rate. </w:t>
      </w:r>
      <w:r>
        <w:rPr>
          <w:i/>
          <w:color w:val="231F20"/>
          <w:sz w:val="15"/>
        </w:rPr>
        <w:t>Brain</w:t>
      </w:r>
      <w:bookmarkStart w:name="_bookmark9" w:id="27"/>
      <w:bookmarkEnd w:id="27"/>
      <w:r>
        <w:rPr>
          <w:i/>
          <w:color w:val="231F20"/>
          <w:sz w:val="15"/>
        </w:rPr>
      </w:r>
      <w:r>
        <w:rPr>
          <w:i/>
          <w:color w:val="231F20"/>
          <w:sz w:val="15"/>
        </w:rPr>
        <w:t> </w:t>
      </w:r>
      <w:r>
        <w:rPr>
          <w:i/>
          <w:color w:val="231F20"/>
          <w:sz w:val="15"/>
        </w:rPr>
        <w:t>Stimul. </w:t>
      </w:r>
      <w:hyperlink r:id="rId48">
        <w:r>
          <w:rPr>
            <w:color w:val="231F20"/>
            <w:sz w:val="15"/>
          </w:rPr>
          <w:t>11, 699–708. doi: 10.1016/j.brs.2018.04.004</w:t>
        </w:r>
      </w:hyperlink>
    </w:p>
    <w:p>
      <w:pPr>
        <w:spacing w:line="223" w:lineRule="auto" w:before="0"/>
        <w:ind w:left="358" w:right="0" w:hanging="200"/>
        <w:jc w:val="both"/>
        <w:rPr>
          <w:sz w:val="15"/>
        </w:rPr>
      </w:pPr>
      <w:r>
        <w:rPr>
          <w:color w:val="231F20"/>
          <w:sz w:val="15"/>
        </w:rPr>
        <w:t>Bald, K. (2010). </w:t>
      </w:r>
      <w:r>
        <w:rPr>
          <w:i/>
          <w:color w:val="231F20"/>
          <w:sz w:val="15"/>
        </w:rPr>
        <w:t>Systematic Evaluation of Parameters Of Electrical Stimulation of </w:t>
      </w:r>
      <w:r>
        <w:rPr>
          <w:i/>
          <w:color w:val="231F20"/>
          <w:sz w:val="15"/>
        </w:rPr>
        <w:t>Auricular Nerve Endings</w:t>
      </w:r>
      <w:r>
        <w:rPr>
          <w:color w:val="231F20"/>
          <w:sz w:val="15"/>
        </w:rPr>
        <w:t>. Diploma thesis, Vienna University of Technology,</w:t>
      </w:r>
      <w:bookmarkStart w:name="_bookmark10" w:id="28"/>
      <w:bookmarkEnd w:id="28"/>
      <w:r>
        <w:rPr>
          <w:color w:val="231F20"/>
          <w:sz w:val="15"/>
        </w:rPr>
      </w:r>
      <w:r>
        <w:rPr>
          <w:color w:val="231F20"/>
          <w:sz w:val="15"/>
        </w:rPr>
        <w:t> Vienna</w:t>
      </w:r>
    </w:p>
    <w:p>
      <w:pPr>
        <w:spacing w:line="223" w:lineRule="auto" w:before="0"/>
        <w:ind w:left="358" w:right="0" w:hanging="200"/>
        <w:jc w:val="both"/>
        <w:rPr>
          <w:sz w:val="15"/>
        </w:rPr>
      </w:pPr>
      <w:r>
        <w:rPr>
          <w:color w:val="231F20"/>
          <w:sz w:val="15"/>
        </w:rPr>
        <w:t>Barbanti, P., Grazzi, L., Egeo, G., Padovan, A. M., Liebler, E., and Bussone, G. (2015). Non-invasive vagus nerve stimulation for acute treatment of high- frequency and chronic migraine: an open-label study. </w:t>
      </w:r>
      <w:r>
        <w:rPr>
          <w:i/>
          <w:color w:val="231F20"/>
          <w:sz w:val="15"/>
        </w:rPr>
        <w:t>J. Headache Pain </w:t>
      </w:r>
      <w:r>
        <w:rPr>
          <w:color w:val="231F20"/>
          <w:sz w:val="15"/>
        </w:rPr>
        <w:t>16:61.</w:t>
      </w:r>
      <w:bookmarkStart w:name="_bookmark11" w:id="29"/>
      <w:bookmarkEnd w:id="29"/>
      <w:r>
        <w:rPr>
          <w:color w:val="231F20"/>
          <w:sz w:val="15"/>
        </w:rPr>
      </w:r>
      <w:r>
        <w:rPr>
          <w:color w:val="231F20"/>
          <w:sz w:val="15"/>
        </w:rPr>
        <w:t> </w:t>
      </w:r>
      <w:hyperlink r:id="rId49">
        <w:r>
          <w:rPr>
            <w:color w:val="231F20"/>
            <w:sz w:val="15"/>
          </w:rPr>
          <w:t>doi: 10.1186/s10194-015-0542-4</w:t>
        </w:r>
      </w:hyperlink>
    </w:p>
    <w:p>
      <w:pPr>
        <w:spacing w:line="223" w:lineRule="auto" w:before="3"/>
        <w:ind w:left="358" w:right="0" w:hanging="200"/>
        <w:jc w:val="both"/>
        <w:rPr>
          <w:sz w:val="15"/>
        </w:rPr>
      </w:pPr>
      <w:r>
        <w:rPr>
          <w:color w:val="231F20"/>
          <w:sz w:val="15"/>
        </w:rPr>
        <w:t>Beekwilder, J. P., and Beems, T. (2010). Overview of the clinical applications </w:t>
      </w:r>
      <w:r>
        <w:rPr>
          <w:color w:val="231F20"/>
          <w:spacing w:val="-8"/>
          <w:sz w:val="15"/>
        </w:rPr>
        <w:t>of </w:t>
      </w:r>
      <w:r>
        <w:rPr>
          <w:color w:val="231F20"/>
          <w:sz w:val="15"/>
        </w:rPr>
        <w:t>vagus nerve stimulation. </w:t>
      </w:r>
      <w:r>
        <w:rPr>
          <w:i/>
          <w:color w:val="231F20"/>
          <w:sz w:val="15"/>
        </w:rPr>
        <w:t>J. Clin. Neurophysiol. </w:t>
      </w:r>
      <w:r>
        <w:rPr>
          <w:color w:val="231F20"/>
          <w:sz w:val="15"/>
        </w:rPr>
        <w:t>27, 130–138. </w:t>
      </w:r>
      <w:hyperlink r:id="rId50">
        <w:r>
          <w:rPr>
            <w:color w:val="231F20"/>
            <w:sz w:val="15"/>
          </w:rPr>
          <w:t>doi: </w:t>
        </w:r>
        <w:r>
          <w:rPr>
            <w:color w:val="231F20"/>
            <w:spacing w:val="-2"/>
            <w:sz w:val="15"/>
          </w:rPr>
          <w:t>10.1097/WNP.</w:t>
        </w:r>
      </w:hyperlink>
      <w:bookmarkStart w:name="_bookmark12" w:id="30"/>
      <w:bookmarkEnd w:id="30"/>
      <w:r>
        <w:rPr>
          <w:color w:val="231F20"/>
          <w:spacing w:val="-2"/>
          <w:sz w:val="15"/>
        </w:rPr>
      </w:r>
      <w:r>
        <w:rPr>
          <w:color w:val="231F20"/>
          <w:spacing w:val="-2"/>
          <w:sz w:val="15"/>
        </w:rPr>
        <w:t> </w:t>
      </w:r>
      <w:hyperlink r:id="rId50">
        <w:r>
          <w:rPr>
            <w:color w:val="231F20"/>
            <w:sz w:val="15"/>
          </w:rPr>
          <w:t>0b013e3181d64d8a</w:t>
        </w:r>
      </w:hyperlink>
    </w:p>
    <w:p>
      <w:pPr>
        <w:spacing w:line="223" w:lineRule="auto" w:before="1"/>
        <w:ind w:left="358" w:right="0" w:hanging="200"/>
        <w:jc w:val="both"/>
        <w:rPr>
          <w:sz w:val="15"/>
        </w:rPr>
      </w:pPr>
      <w:r>
        <w:rPr>
          <w:color w:val="231F20"/>
          <w:sz w:val="15"/>
        </w:rPr>
        <w:t>Ben-Menachem, E., Revesz, D., Simon, B. J., and Silberstein, S. (2015). Surgically implanted and non-invasive vagus nerve stimulation: a review of </w:t>
      </w:r>
      <w:r>
        <w:rPr>
          <w:color w:val="231F20"/>
          <w:spacing w:val="-3"/>
          <w:sz w:val="15"/>
        </w:rPr>
        <w:t>efficacy, </w:t>
      </w:r>
      <w:r>
        <w:rPr>
          <w:color w:val="231F20"/>
          <w:sz w:val="15"/>
        </w:rPr>
        <w:t>safety and tolerability. </w:t>
      </w:r>
      <w:r>
        <w:rPr>
          <w:i/>
          <w:color w:val="231F20"/>
          <w:sz w:val="15"/>
        </w:rPr>
        <w:t>Eur. J. Neurol.  </w:t>
      </w:r>
      <w:r>
        <w:rPr>
          <w:color w:val="231F20"/>
          <w:sz w:val="15"/>
        </w:rPr>
        <w:t>22,  1260–1268.  </w:t>
      </w:r>
      <w:hyperlink r:id="rId51">
        <w:r>
          <w:rPr>
            <w:color w:val="231F20"/>
            <w:sz w:val="15"/>
          </w:rPr>
          <w:t>doi:  10.1111/ene.</w:t>
        </w:r>
      </w:hyperlink>
      <w:bookmarkStart w:name="_bookmark13" w:id="31"/>
      <w:bookmarkEnd w:id="31"/>
      <w:r>
        <w:rPr>
          <w:color w:val="231F20"/>
          <w:sz w:val="15"/>
        </w:rPr>
      </w:r>
      <w:r>
        <w:rPr>
          <w:color w:val="231F20"/>
          <w:spacing w:val="34"/>
          <w:sz w:val="15"/>
        </w:rPr>
        <w:t> </w:t>
      </w:r>
      <w:hyperlink r:id="rId51">
        <w:r>
          <w:rPr>
            <w:color w:val="231F20"/>
            <w:sz w:val="15"/>
          </w:rPr>
          <w:t>12629</w:t>
        </w:r>
      </w:hyperlink>
    </w:p>
    <w:p>
      <w:pPr>
        <w:spacing w:line="223" w:lineRule="auto" w:before="3"/>
        <w:ind w:left="358" w:right="0" w:hanging="200"/>
        <w:jc w:val="both"/>
        <w:rPr>
          <w:sz w:val="15"/>
        </w:rPr>
      </w:pPr>
      <w:r>
        <w:rPr>
          <w:color w:val="231F20"/>
          <w:sz w:val="15"/>
        </w:rPr>
        <w:t>Bermejo, P.,  Lopez,  M.,  Larraya,  I.,  Chamorro,  J.,  Cobo,  J.  L.,  Ordonez,  S.,</w:t>
      </w:r>
      <w:r>
        <w:rPr>
          <w:color w:val="231F20"/>
          <w:spacing w:val="34"/>
          <w:sz w:val="15"/>
        </w:rPr>
        <w:t> </w:t>
      </w:r>
      <w:r>
        <w:rPr>
          <w:color w:val="231F20"/>
          <w:sz w:val="15"/>
        </w:rPr>
        <w:t>et al. (2017). Innervation of the human cavum conchae and auditory canal: anatomical basis for transcutaneous auricular nerve stimulation. </w:t>
      </w:r>
      <w:r>
        <w:rPr>
          <w:i/>
          <w:color w:val="231F20"/>
          <w:sz w:val="15"/>
        </w:rPr>
        <w:t>Biomed. Res.</w:t>
      </w:r>
      <w:bookmarkStart w:name="_bookmark14" w:id="32"/>
      <w:bookmarkEnd w:id="32"/>
      <w:r>
        <w:rPr>
          <w:i/>
          <w:color w:val="231F20"/>
          <w:sz w:val="15"/>
        </w:rPr>
      </w:r>
      <w:r>
        <w:rPr>
          <w:i/>
          <w:color w:val="231F20"/>
          <w:sz w:val="15"/>
        </w:rPr>
        <w:t> </w:t>
      </w:r>
      <w:r>
        <w:rPr>
          <w:i/>
          <w:color w:val="231F20"/>
          <w:sz w:val="15"/>
        </w:rPr>
        <w:t>Int. </w:t>
      </w:r>
      <w:hyperlink r:id="rId52">
        <w:r>
          <w:rPr>
            <w:color w:val="231F20"/>
            <w:sz w:val="15"/>
          </w:rPr>
          <w:t>2017:7830919. doi:</w:t>
        </w:r>
        <w:r>
          <w:rPr>
            <w:color w:val="231F20"/>
            <w:spacing w:val="-1"/>
            <w:sz w:val="15"/>
          </w:rPr>
          <w:t> </w:t>
        </w:r>
        <w:r>
          <w:rPr>
            <w:color w:val="231F20"/>
            <w:sz w:val="15"/>
          </w:rPr>
          <w:t>10.1155/2017/7830919</w:t>
        </w:r>
      </w:hyperlink>
    </w:p>
    <w:p>
      <w:pPr>
        <w:spacing w:line="223" w:lineRule="auto" w:before="1"/>
        <w:ind w:left="358" w:right="0" w:hanging="200"/>
        <w:jc w:val="both"/>
        <w:rPr>
          <w:sz w:val="15"/>
        </w:rPr>
      </w:pPr>
      <w:r>
        <w:rPr>
          <w:color w:val="231F20"/>
          <w:sz w:val="15"/>
        </w:rPr>
        <w:t>Berthoud, H. R., and Neuhuber, W. L. (2001). Functional and chemical anatomy of the afferent vagal system. </w:t>
      </w:r>
      <w:r>
        <w:rPr>
          <w:i/>
          <w:color w:val="231F20"/>
          <w:sz w:val="15"/>
        </w:rPr>
        <w:t>Auton. Neurosci. </w:t>
      </w:r>
      <w:r>
        <w:rPr>
          <w:color w:val="231F20"/>
          <w:sz w:val="15"/>
        </w:rPr>
        <w:t>85, 1–17. </w:t>
      </w:r>
      <w:hyperlink r:id="rId53">
        <w:r>
          <w:rPr>
            <w:color w:val="231F20"/>
            <w:sz w:val="15"/>
          </w:rPr>
          <w:t>doi: 10.1016/S1566-</w:t>
        </w:r>
      </w:hyperlink>
      <w:bookmarkStart w:name="_bookmark15" w:id="33"/>
      <w:bookmarkEnd w:id="33"/>
      <w:r>
        <w:rPr>
          <w:color w:val="231F20"/>
          <w:sz w:val="15"/>
        </w:rPr>
      </w:r>
      <w:r>
        <w:rPr>
          <w:color w:val="231F20"/>
          <w:sz w:val="15"/>
        </w:rPr>
        <w:t> </w:t>
      </w:r>
      <w:hyperlink r:id="rId53">
        <w:r>
          <w:rPr>
            <w:color w:val="231F20"/>
            <w:sz w:val="15"/>
          </w:rPr>
          <w:t>0702(00)00215-0</w:t>
        </w:r>
      </w:hyperlink>
    </w:p>
    <w:p>
      <w:pPr>
        <w:spacing w:line="223" w:lineRule="auto" w:before="1"/>
        <w:ind w:left="358" w:right="0" w:hanging="200"/>
        <w:jc w:val="both"/>
        <w:rPr>
          <w:sz w:val="15"/>
        </w:rPr>
      </w:pPr>
      <w:r>
        <w:rPr>
          <w:color w:val="231F20"/>
          <w:sz w:val="15"/>
        </w:rPr>
        <w:t>Bilgutay, A. M., Bilgutay, I. M., Merkel, F. K., and Lillehei, C. W. (1968). </w:t>
      </w:r>
      <w:r>
        <w:rPr>
          <w:color w:val="231F20"/>
          <w:spacing w:val="-4"/>
          <w:sz w:val="15"/>
        </w:rPr>
        <w:t>Vagal </w:t>
      </w:r>
      <w:r>
        <w:rPr>
          <w:color w:val="231F20"/>
          <w:sz w:val="15"/>
        </w:rPr>
        <w:t>tuning.</w:t>
      </w:r>
      <w:r>
        <w:rPr>
          <w:color w:val="231F20"/>
          <w:spacing w:val="-7"/>
          <w:sz w:val="15"/>
        </w:rPr>
        <w:t> </w:t>
      </w:r>
      <w:r>
        <w:rPr>
          <w:color w:val="231F20"/>
          <w:sz w:val="15"/>
        </w:rPr>
        <w:t>A</w:t>
      </w:r>
      <w:r>
        <w:rPr>
          <w:color w:val="231F20"/>
          <w:spacing w:val="-6"/>
          <w:sz w:val="15"/>
        </w:rPr>
        <w:t> </w:t>
      </w:r>
      <w:r>
        <w:rPr>
          <w:color w:val="231F20"/>
          <w:sz w:val="15"/>
        </w:rPr>
        <w:t>new</w:t>
      </w:r>
      <w:r>
        <w:rPr>
          <w:color w:val="231F20"/>
          <w:spacing w:val="-7"/>
          <w:sz w:val="15"/>
        </w:rPr>
        <w:t> </w:t>
      </w:r>
      <w:r>
        <w:rPr>
          <w:color w:val="231F20"/>
          <w:sz w:val="15"/>
        </w:rPr>
        <w:t>concept</w:t>
      </w:r>
      <w:r>
        <w:rPr>
          <w:color w:val="231F20"/>
          <w:spacing w:val="-6"/>
          <w:sz w:val="15"/>
        </w:rPr>
        <w:t> </w:t>
      </w:r>
      <w:r>
        <w:rPr>
          <w:color w:val="231F20"/>
          <w:sz w:val="15"/>
        </w:rPr>
        <w:t>in</w:t>
      </w:r>
      <w:r>
        <w:rPr>
          <w:color w:val="231F20"/>
          <w:spacing w:val="-7"/>
          <w:sz w:val="15"/>
        </w:rPr>
        <w:t> </w:t>
      </w:r>
      <w:r>
        <w:rPr>
          <w:color w:val="231F20"/>
          <w:sz w:val="15"/>
        </w:rPr>
        <w:t>the</w:t>
      </w:r>
      <w:r>
        <w:rPr>
          <w:color w:val="231F20"/>
          <w:spacing w:val="-6"/>
          <w:sz w:val="15"/>
        </w:rPr>
        <w:t> </w:t>
      </w:r>
      <w:r>
        <w:rPr>
          <w:color w:val="231F20"/>
          <w:sz w:val="15"/>
        </w:rPr>
        <w:t>treatment</w:t>
      </w:r>
      <w:r>
        <w:rPr>
          <w:color w:val="231F20"/>
          <w:spacing w:val="-7"/>
          <w:sz w:val="15"/>
        </w:rPr>
        <w:t> </w:t>
      </w:r>
      <w:r>
        <w:rPr>
          <w:color w:val="231F20"/>
          <w:sz w:val="15"/>
        </w:rPr>
        <w:t>of</w:t>
      </w:r>
      <w:r>
        <w:rPr>
          <w:color w:val="231F20"/>
          <w:spacing w:val="-6"/>
          <w:sz w:val="15"/>
        </w:rPr>
        <w:t> </w:t>
      </w:r>
      <w:r>
        <w:rPr>
          <w:color w:val="231F20"/>
          <w:sz w:val="15"/>
        </w:rPr>
        <w:t>supraventricular</w:t>
      </w:r>
      <w:r>
        <w:rPr>
          <w:color w:val="231F20"/>
          <w:spacing w:val="-7"/>
          <w:sz w:val="15"/>
        </w:rPr>
        <w:t> </w:t>
      </w:r>
      <w:r>
        <w:rPr>
          <w:color w:val="231F20"/>
          <w:sz w:val="15"/>
        </w:rPr>
        <w:t>arrhythmias,</w:t>
      </w:r>
      <w:r>
        <w:rPr>
          <w:color w:val="231F20"/>
          <w:spacing w:val="-6"/>
          <w:sz w:val="15"/>
        </w:rPr>
        <w:t> </w:t>
      </w:r>
      <w:r>
        <w:rPr>
          <w:color w:val="231F20"/>
          <w:sz w:val="15"/>
        </w:rPr>
        <w:t>angina</w:t>
      </w:r>
      <w:bookmarkStart w:name="_bookmark16" w:id="34"/>
      <w:bookmarkEnd w:id="34"/>
      <w:r>
        <w:rPr>
          <w:color w:val="231F20"/>
          <w:sz w:val="15"/>
        </w:rPr>
      </w:r>
      <w:r>
        <w:rPr>
          <w:color w:val="231F20"/>
          <w:sz w:val="15"/>
        </w:rPr>
        <w:t> pectoris, and heart failure. </w:t>
      </w:r>
      <w:r>
        <w:rPr>
          <w:i/>
          <w:color w:val="231F20"/>
          <w:sz w:val="15"/>
        </w:rPr>
        <w:t>J. Thorac. Cardiovasc. Surg. </w:t>
      </w:r>
      <w:r>
        <w:rPr>
          <w:color w:val="231F20"/>
          <w:sz w:val="15"/>
        </w:rPr>
        <w:t>56,</w:t>
      </w:r>
      <w:r>
        <w:rPr>
          <w:color w:val="231F20"/>
          <w:spacing w:val="-4"/>
          <w:sz w:val="15"/>
        </w:rPr>
        <w:t> </w:t>
      </w:r>
      <w:r>
        <w:rPr>
          <w:color w:val="231F20"/>
          <w:sz w:val="15"/>
        </w:rPr>
        <w:t>71–82.</w:t>
      </w:r>
    </w:p>
    <w:p>
      <w:pPr>
        <w:spacing w:line="223" w:lineRule="auto" w:before="2"/>
        <w:ind w:left="358" w:right="0" w:hanging="200"/>
        <w:jc w:val="both"/>
        <w:rPr>
          <w:sz w:val="15"/>
        </w:rPr>
      </w:pPr>
      <w:r>
        <w:rPr>
          <w:color w:val="231F20"/>
          <w:sz w:val="15"/>
        </w:rPr>
        <w:t>Boon, K.  H.,  Khalil-Hani,  M.,  Malarvili,  M.  B.,  and  Sia,  C.  W.  (2016). Paroxysmal atrial fibrillation prediction method with shorter HRV sequences. </w:t>
      </w:r>
      <w:r>
        <w:rPr>
          <w:i/>
          <w:color w:val="231F20"/>
          <w:sz w:val="15"/>
        </w:rPr>
        <w:t>Comput. Methods Programs Biomed. </w:t>
      </w:r>
      <w:r>
        <w:rPr>
          <w:color w:val="231F20"/>
          <w:sz w:val="15"/>
        </w:rPr>
        <w:t>134, 187–196. </w:t>
      </w:r>
      <w:hyperlink r:id="rId54">
        <w:r>
          <w:rPr>
            <w:color w:val="231F20"/>
            <w:sz w:val="15"/>
          </w:rPr>
          <w:t>doi: 10.1016/j.cmpb.2016.</w:t>
        </w:r>
      </w:hyperlink>
      <w:bookmarkStart w:name="_bookmark17" w:id="35"/>
      <w:bookmarkEnd w:id="35"/>
      <w:r>
        <w:rPr>
          <w:color w:val="231F20"/>
          <w:sz w:val="15"/>
        </w:rPr>
      </w:r>
      <w:r>
        <w:rPr>
          <w:color w:val="231F20"/>
          <w:sz w:val="15"/>
        </w:rPr>
        <w:t> </w:t>
      </w:r>
      <w:hyperlink r:id="rId54">
        <w:r>
          <w:rPr>
            <w:color w:val="231F20"/>
            <w:sz w:val="15"/>
          </w:rPr>
          <w:t>07.016</w:t>
        </w:r>
      </w:hyperlink>
    </w:p>
    <w:p>
      <w:pPr>
        <w:spacing w:line="225" w:lineRule="auto" w:before="1"/>
        <w:ind w:left="358" w:right="0" w:hanging="200"/>
        <w:jc w:val="both"/>
        <w:rPr>
          <w:sz w:val="15"/>
        </w:rPr>
      </w:pPr>
      <w:r>
        <w:rPr>
          <w:color w:val="231F20"/>
          <w:sz w:val="15"/>
        </w:rPr>
        <w:t>Boon,</w:t>
      </w:r>
      <w:r>
        <w:rPr>
          <w:color w:val="231F20"/>
          <w:spacing w:val="-8"/>
          <w:sz w:val="15"/>
        </w:rPr>
        <w:t> </w:t>
      </w:r>
      <w:r>
        <w:rPr>
          <w:color w:val="231F20"/>
          <w:sz w:val="15"/>
        </w:rPr>
        <w:t>P.,</w:t>
      </w:r>
      <w:r>
        <w:rPr>
          <w:color w:val="231F20"/>
          <w:spacing w:val="-8"/>
          <w:sz w:val="15"/>
        </w:rPr>
        <w:t> </w:t>
      </w:r>
      <w:r>
        <w:rPr>
          <w:color w:val="231F20"/>
          <w:sz w:val="15"/>
        </w:rPr>
        <w:t>Vonck,</w:t>
      </w:r>
      <w:r>
        <w:rPr>
          <w:color w:val="231F20"/>
          <w:spacing w:val="-8"/>
          <w:sz w:val="15"/>
        </w:rPr>
        <w:t> </w:t>
      </w:r>
      <w:r>
        <w:rPr>
          <w:color w:val="231F20"/>
          <w:sz w:val="15"/>
        </w:rPr>
        <w:t>K.,</w:t>
      </w:r>
      <w:r>
        <w:rPr>
          <w:color w:val="231F20"/>
          <w:spacing w:val="-8"/>
          <w:sz w:val="15"/>
        </w:rPr>
        <w:t> </w:t>
      </w:r>
      <w:r>
        <w:rPr>
          <w:color w:val="231F20"/>
          <w:sz w:val="15"/>
        </w:rPr>
        <w:t>van</w:t>
      </w:r>
      <w:r>
        <w:rPr>
          <w:color w:val="231F20"/>
          <w:spacing w:val="-8"/>
          <w:sz w:val="15"/>
        </w:rPr>
        <w:t> </w:t>
      </w:r>
      <w:r>
        <w:rPr>
          <w:color w:val="231F20"/>
          <w:sz w:val="15"/>
        </w:rPr>
        <w:t>Rijckevorsel,</w:t>
      </w:r>
      <w:r>
        <w:rPr>
          <w:color w:val="231F20"/>
          <w:spacing w:val="-7"/>
          <w:sz w:val="15"/>
        </w:rPr>
        <w:t> </w:t>
      </w:r>
      <w:r>
        <w:rPr>
          <w:color w:val="231F20"/>
          <w:sz w:val="15"/>
        </w:rPr>
        <w:t>K.,</w:t>
      </w:r>
      <w:r>
        <w:rPr>
          <w:color w:val="231F20"/>
          <w:spacing w:val="-9"/>
          <w:sz w:val="15"/>
        </w:rPr>
        <w:t> </w:t>
      </w:r>
      <w:r>
        <w:rPr>
          <w:color w:val="231F20"/>
          <w:spacing w:val="-3"/>
          <w:sz w:val="15"/>
        </w:rPr>
        <w:t>Tahry,</w:t>
      </w:r>
      <w:r>
        <w:rPr>
          <w:color w:val="231F20"/>
          <w:spacing w:val="-7"/>
          <w:sz w:val="15"/>
        </w:rPr>
        <w:t> </w:t>
      </w:r>
      <w:r>
        <w:rPr>
          <w:color w:val="231F20"/>
          <w:sz w:val="15"/>
        </w:rPr>
        <w:t>E.</w:t>
      </w:r>
      <w:r>
        <w:rPr>
          <w:color w:val="231F20"/>
          <w:spacing w:val="-9"/>
          <w:sz w:val="15"/>
        </w:rPr>
        <w:t> </w:t>
      </w:r>
      <w:r>
        <w:rPr>
          <w:color w:val="231F20"/>
          <w:sz w:val="15"/>
        </w:rPr>
        <w:t>R.,</w:t>
      </w:r>
      <w:r>
        <w:rPr>
          <w:color w:val="231F20"/>
          <w:spacing w:val="-7"/>
          <w:sz w:val="15"/>
        </w:rPr>
        <w:t> </w:t>
      </w:r>
      <w:r>
        <w:rPr>
          <w:color w:val="231F20"/>
          <w:sz w:val="15"/>
        </w:rPr>
        <w:t>Elger,</w:t>
      </w:r>
      <w:r>
        <w:rPr>
          <w:color w:val="231F20"/>
          <w:spacing w:val="-8"/>
          <w:sz w:val="15"/>
        </w:rPr>
        <w:t> </w:t>
      </w:r>
      <w:r>
        <w:rPr>
          <w:color w:val="231F20"/>
          <w:sz w:val="15"/>
        </w:rPr>
        <w:t>C.</w:t>
      </w:r>
      <w:r>
        <w:rPr>
          <w:color w:val="231F20"/>
          <w:spacing w:val="-8"/>
          <w:sz w:val="15"/>
        </w:rPr>
        <w:t> </w:t>
      </w:r>
      <w:r>
        <w:rPr>
          <w:color w:val="231F20"/>
          <w:sz w:val="15"/>
        </w:rPr>
        <w:t>E.,</w:t>
      </w:r>
      <w:r>
        <w:rPr>
          <w:color w:val="231F20"/>
          <w:spacing w:val="-8"/>
          <w:sz w:val="15"/>
        </w:rPr>
        <w:t> </w:t>
      </w:r>
      <w:r>
        <w:rPr>
          <w:color w:val="231F20"/>
          <w:sz w:val="15"/>
        </w:rPr>
        <w:t>Mullatti,</w:t>
      </w:r>
      <w:r>
        <w:rPr>
          <w:color w:val="231F20"/>
          <w:spacing w:val="-8"/>
          <w:sz w:val="15"/>
        </w:rPr>
        <w:t> </w:t>
      </w:r>
      <w:r>
        <w:rPr>
          <w:color w:val="231F20"/>
          <w:sz w:val="15"/>
        </w:rPr>
        <w:t>N.,</w:t>
      </w:r>
      <w:r>
        <w:rPr>
          <w:color w:val="231F20"/>
          <w:spacing w:val="-8"/>
          <w:sz w:val="15"/>
        </w:rPr>
        <w:t> </w:t>
      </w:r>
      <w:r>
        <w:rPr>
          <w:color w:val="231F20"/>
          <w:sz w:val="15"/>
        </w:rPr>
        <w:t>et</w:t>
      </w:r>
      <w:r>
        <w:rPr>
          <w:color w:val="231F20"/>
          <w:spacing w:val="-7"/>
          <w:sz w:val="15"/>
        </w:rPr>
        <w:t> </w:t>
      </w:r>
      <w:r>
        <w:rPr>
          <w:color w:val="231F20"/>
          <w:sz w:val="15"/>
        </w:rPr>
        <w:t>al. (2015).</w:t>
      </w:r>
      <w:r>
        <w:rPr>
          <w:color w:val="231F20"/>
          <w:spacing w:val="9"/>
          <w:sz w:val="15"/>
        </w:rPr>
        <w:t> </w:t>
      </w:r>
      <w:r>
        <w:rPr>
          <w:color w:val="231F20"/>
          <w:sz w:val="15"/>
        </w:rPr>
        <w:t>A</w:t>
      </w:r>
      <w:r>
        <w:rPr>
          <w:color w:val="231F20"/>
          <w:spacing w:val="10"/>
          <w:sz w:val="15"/>
        </w:rPr>
        <w:t> </w:t>
      </w:r>
      <w:r>
        <w:rPr>
          <w:color w:val="231F20"/>
          <w:sz w:val="15"/>
        </w:rPr>
        <w:t>prospective,</w:t>
      </w:r>
      <w:r>
        <w:rPr>
          <w:color w:val="231F20"/>
          <w:spacing w:val="10"/>
          <w:sz w:val="15"/>
        </w:rPr>
        <w:t> </w:t>
      </w:r>
      <w:r>
        <w:rPr>
          <w:color w:val="231F20"/>
          <w:sz w:val="15"/>
        </w:rPr>
        <w:t>multicenter</w:t>
      </w:r>
      <w:r>
        <w:rPr>
          <w:color w:val="231F20"/>
          <w:spacing w:val="9"/>
          <w:sz w:val="15"/>
        </w:rPr>
        <w:t> </w:t>
      </w:r>
      <w:r>
        <w:rPr>
          <w:color w:val="231F20"/>
          <w:sz w:val="15"/>
        </w:rPr>
        <w:t>study</w:t>
      </w:r>
      <w:r>
        <w:rPr>
          <w:color w:val="231F20"/>
          <w:spacing w:val="10"/>
          <w:sz w:val="15"/>
        </w:rPr>
        <w:t> </w:t>
      </w:r>
      <w:r>
        <w:rPr>
          <w:color w:val="231F20"/>
          <w:sz w:val="15"/>
        </w:rPr>
        <w:t>of</w:t>
      </w:r>
      <w:r>
        <w:rPr>
          <w:color w:val="231F20"/>
          <w:spacing w:val="10"/>
          <w:sz w:val="15"/>
        </w:rPr>
        <w:t> </w:t>
      </w:r>
      <w:r>
        <w:rPr>
          <w:color w:val="231F20"/>
          <w:sz w:val="15"/>
        </w:rPr>
        <w:t>cardiac-based</w:t>
      </w:r>
      <w:r>
        <w:rPr>
          <w:color w:val="231F20"/>
          <w:spacing w:val="9"/>
          <w:sz w:val="15"/>
        </w:rPr>
        <w:t> </w:t>
      </w:r>
      <w:r>
        <w:rPr>
          <w:color w:val="231F20"/>
          <w:sz w:val="15"/>
        </w:rPr>
        <w:t>seizure</w:t>
      </w:r>
      <w:r>
        <w:rPr>
          <w:color w:val="231F20"/>
          <w:spacing w:val="10"/>
          <w:sz w:val="15"/>
        </w:rPr>
        <w:t> </w:t>
      </w:r>
      <w:r>
        <w:rPr>
          <w:color w:val="231F20"/>
          <w:sz w:val="15"/>
        </w:rPr>
        <w:t>detection</w:t>
      </w:r>
      <w:r>
        <w:rPr>
          <w:color w:val="231F20"/>
          <w:spacing w:val="10"/>
          <w:sz w:val="15"/>
        </w:rPr>
        <w:t> </w:t>
      </w:r>
      <w:r>
        <w:rPr>
          <w:color w:val="231F20"/>
          <w:sz w:val="15"/>
        </w:rPr>
        <w:t>to</w:t>
      </w:r>
    </w:p>
    <w:p>
      <w:pPr>
        <w:spacing w:line="225" w:lineRule="auto" w:before="157"/>
        <w:ind w:left="358" w:right="147" w:firstLine="0"/>
        <w:jc w:val="left"/>
        <w:rPr>
          <w:sz w:val="15"/>
        </w:rPr>
      </w:pPr>
      <w:r>
        <w:rPr/>
        <w:br w:type="column"/>
      </w:r>
      <w:r>
        <w:rPr>
          <w:color w:val="231F20"/>
          <w:sz w:val="15"/>
        </w:rPr>
        <w:t>activate vagus nerve stimulation. </w:t>
      </w:r>
      <w:r>
        <w:rPr>
          <w:i/>
          <w:color w:val="231F20"/>
          <w:sz w:val="15"/>
        </w:rPr>
        <w:t>Seizure </w:t>
      </w:r>
      <w:hyperlink r:id="rId55">
        <w:r>
          <w:rPr>
            <w:color w:val="231F20"/>
            <w:sz w:val="15"/>
          </w:rPr>
          <w:t>32, 52–61. doi: 10.1016/j.seizure.2015.</w:t>
        </w:r>
      </w:hyperlink>
      <w:bookmarkStart w:name="_bookmark18" w:id="36"/>
      <w:bookmarkEnd w:id="36"/>
      <w:r>
        <w:rPr>
          <w:color w:val="231F20"/>
          <w:sz w:val="15"/>
        </w:rPr>
      </w:r>
      <w:r>
        <w:rPr>
          <w:color w:val="231F20"/>
          <w:sz w:val="15"/>
        </w:rPr>
        <w:t> </w:t>
      </w:r>
      <w:hyperlink r:id="rId55">
        <w:r>
          <w:rPr>
            <w:color w:val="231F20"/>
            <w:sz w:val="15"/>
          </w:rPr>
          <w:t>08.011</w:t>
        </w:r>
      </w:hyperlink>
    </w:p>
    <w:p>
      <w:pPr>
        <w:spacing w:line="223" w:lineRule="auto" w:before="0"/>
        <w:ind w:left="358" w:right="155" w:hanging="200"/>
        <w:jc w:val="both"/>
        <w:rPr>
          <w:sz w:val="15"/>
        </w:rPr>
      </w:pPr>
      <w:r>
        <w:rPr>
          <w:color w:val="231F20"/>
          <w:sz w:val="15"/>
        </w:rPr>
        <w:t>Brown, G. L., and Eccles, J. C. (1934). The action of a single vagal volley on the rhythm of the heart beat. </w:t>
      </w:r>
      <w:r>
        <w:rPr>
          <w:i/>
          <w:color w:val="231F20"/>
          <w:sz w:val="15"/>
        </w:rPr>
        <w:t>J. Physiol. </w:t>
      </w:r>
      <w:r>
        <w:rPr>
          <w:color w:val="231F20"/>
          <w:sz w:val="15"/>
        </w:rPr>
        <w:t>82, 211–241. </w:t>
      </w:r>
      <w:hyperlink r:id="rId56">
        <w:r>
          <w:rPr>
            <w:color w:val="231F20"/>
            <w:sz w:val="15"/>
          </w:rPr>
          <w:t>doi: 10.1113/jphysiol.1934.</w:t>
        </w:r>
      </w:hyperlink>
      <w:bookmarkStart w:name="_bookmark19" w:id="37"/>
      <w:bookmarkEnd w:id="37"/>
      <w:r>
        <w:rPr>
          <w:color w:val="231F20"/>
          <w:sz w:val="15"/>
        </w:rPr>
      </w:r>
      <w:r>
        <w:rPr>
          <w:color w:val="231F20"/>
          <w:sz w:val="15"/>
        </w:rPr>
        <w:t> </w:t>
      </w:r>
      <w:hyperlink r:id="rId56">
        <w:r>
          <w:rPr>
            <w:color w:val="231F20"/>
            <w:sz w:val="15"/>
          </w:rPr>
          <w:t>sp003176</w:t>
        </w:r>
      </w:hyperlink>
    </w:p>
    <w:p>
      <w:pPr>
        <w:spacing w:line="223" w:lineRule="auto" w:before="1"/>
        <w:ind w:left="358" w:right="155" w:hanging="200"/>
        <w:jc w:val="both"/>
        <w:rPr>
          <w:sz w:val="15"/>
        </w:rPr>
      </w:pPr>
      <w:r>
        <w:rPr>
          <w:color w:val="231F20"/>
          <w:sz w:val="15"/>
        </w:rPr>
        <w:t>Buchholz, B., Donato, M., Perez, V., Deutsch, A. C. R., Hocht, C., Del Mauro, J. S., et al. (2014). Changes in the loading conditions induced by vagal stimulation modify the myocardial infarct size through sympathetic-parasympathetic interactions. </w:t>
      </w:r>
      <w:r>
        <w:rPr>
          <w:i/>
          <w:color w:val="231F20"/>
          <w:sz w:val="15"/>
        </w:rPr>
        <w:t>Pflugers</w:t>
      </w:r>
      <w:r>
        <w:rPr>
          <w:i/>
          <w:color w:val="231F20"/>
          <w:spacing w:val="34"/>
          <w:sz w:val="15"/>
        </w:rPr>
        <w:t> </w:t>
      </w:r>
      <w:r>
        <w:rPr>
          <w:i/>
          <w:color w:val="231F20"/>
          <w:sz w:val="15"/>
        </w:rPr>
        <w:t>Arch  </w:t>
      </w:r>
      <w:r>
        <w:rPr>
          <w:color w:val="231F20"/>
          <w:sz w:val="15"/>
        </w:rPr>
        <w:t>467,  1509–1522.  </w:t>
      </w:r>
      <w:hyperlink r:id="rId57">
        <w:r>
          <w:rPr>
            <w:color w:val="231F20"/>
            <w:sz w:val="15"/>
          </w:rPr>
          <w:t>doi:  10.1007/s00424-014-</w:t>
        </w:r>
      </w:hyperlink>
      <w:bookmarkStart w:name="_bookmark20" w:id="38"/>
      <w:bookmarkEnd w:id="38"/>
      <w:r>
        <w:rPr>
          <w:color w:val="231F20"/>
          <w:sz w:val="15"/>
        </w:rPr>
      </w:r>
      <w:r>
        <w:rPr>
          <w:color w:val="231F20"/>
          <w:sz w:val="15"/>
        </w:rPr>
        <w:t> </w:t>
      </w:r>
      <w:hyperlink r:id="rId57">
        <w:r>
          <w:rPr>
            <w:color w:val="231F20"/>
            <w:sz w:val="15"/>
          </w:rPr>
          <w:t>1591-2</w:t>
        </w:r>
      </w:hyperlink>
    </w:p>
    <w:p>
      <w:pPr>
        <w:spacing w:line="223" w:lineRule="auto" w:before="4"/>
        <w:ind w:left="358" w:right="155" w:hanging="200"/>
        <w:jc w:val="both"/>
        <w:rPr>
          <w:sz w:val="15"/>
        </w:rPr>
      </w:pPr>
      <w:r>
        <w:rPr>
          <w:color w:val="231F20"/>
          <w:sz w:val="15"/>
        </w:rPr>
        <w:t>Burger, A. M., and Verkuil, B. (2018). Transcutaneous nerve stimulation via the tragus: are we really stimulating the vagus nerve? </w:t>
      </w:r>
      <w:r>
        <w:rPr>
          <w:i/>
          <w:color w:val="231F20"/>
          <w:sz w:val="15"/>
        </w:rPr>
        <w:t>Brain Stimul. </w:t>
      </w:r>
      <w:r>
        <w:rPr>
          <w:color w:val="231F20"/>
          <w:sz w:val="15"/>
        </w:rPr>
        <w:t>11, 945–946.</w:t>
      </w:r>
      <w:bookmarkStart w:name="_bookmark21" w:id="39"/>
      <w:bookmarkEnd w:id="39"/>
      <w:r>
        <w:rPr>
          <w:color w:val="231F20"/>
          <w:sz w:val="15"/>
        </w:rPr>
      </w:r>
      <w:r>
        <w:rPr>
          <w:color w:val="231F20"/>
          <w:sz w:val="15"/>
        </w:rPr>
        <w:t> </w:t>
      </w:r>
      <w:hyperlink r:id="rId58">
        <w:r>
          <w:rPr>
            <w:color w:val="231F20"/>
            <w:sz w:val="15"/>
          </w:rPr>
          <w:t>doi: 10.1016/j.brs.2018.03.018</w:t>
        </w:r>
      </w:hyperlink>
    </w:p>
    <w:p>
      <w:pPr>
        <w:spacing w:line="223" w:lineRule="auto" w:before="1"/>
        <w:ind w:left="358" w:right="155" w:hanging="200"/>
        <w:jc w:val="both"/>
        <w:rPr>
          <w:sz w:val="15"/>
        </w:rPr>
      </w:pPr>
      <w:r>
        <w:rPr>
          <w:color w:val="231F20"/>
          <w:sz w:val="15"/>
        </w:rPr>
        <w:t>Busch,</w:t>
      </w:r>
      <w:r>
        <w:rPr>
          <w:color w:val="231F20"/>
          <w:spacing w:val="-6"/>
          <w:sz w:val="15"/>
        </w:rPr>
        <w:t> </w:t>
      </w:r>
      <w:r>
        <w:rPr>
          <w:color w:val="231F20"/>
          <w:sz w:val="15"/>
        </w:rPr>
        <w:t>V.,</w:t>
      </w:r>
      <w:r>
        <w:rPr>
          <w:color w:val="231F20"/>
          <w:spacing w:val="-5"/>
          <w:sz w:val="15"/>
        </w:rPr>
        <w:t> </w:t>
      </w:r>
      <w:r>
        <w:rPr>
          <w:color w:val="231F20"/>
          <w:sz w:val="15"/>
        </w:rPr>
        <w:t>Zeman,</w:t>
      </w:r>
      <w:r>
        <w:rPr>
          <w:color w:val="231F20"/>
          <w:spacing w:val="-5"/>
          <w:sz w:val="15"/>
        </w:rPr>
        <w:t> </w:t>
      </w:r>
      <w:r>
        <w:rPr>
          <w:color w:val="231F20"/>
          <w:sz w:val="15"/>
        </w:rPr>
        <w:t>F.,</w:t>
      </w:r>
      <w:r>
        <w:rPr>
          <w:color w:val="231F20"/>
          <w:spacing w:val="-5"/>
          <w:sz w:val="15"/>
        </w:rPr>
        <w:t> </w:t>
      </w:r>
      <w:r>
        <w:rPr>
          <w:color w:val="231F20"/>
          <w:sz w:val="15"/>
        </w:rPr>
        <w:t>Heckel,</w:t>
      </w:r>
      <w:r>
        <w:rPr>
          <w:color w:val="231F20"/>
          <w:spacing w:val="-5"/>
          <w:sz w:val="15"/>
        </w:rPr>
        <w:t> </w:t>
      </w:r>
      <w:r>
        <w:rPr>
          <w:color w:val="231F20"/>
          <w:sz w:val="15"/>
        </w:rPr>
        <w:t>A.,</w:t>
      </w:r>
      <w:r>
        <w:rPr>
          <w:color w:val="231F20"/>
          <w:spacing w:val="-5"/>
          <w:sz w:val="15"/>
        </w:rPr>
        <w:t> </w:t>
      </w:r>
      <w:r>
        <w:rPr>
          <w:color w:val="231F20"/>
          <w:sz w:val="15"/>
        </w:rPr>
        <w:t>Menne,</w:t>
      </w:r>
      <w:r>
        <w:rPr>
          <w:color w:val="231F20"/>
          <w:spacing w:val="-5"/>
          <w:sz w:val="15"/>
        </w:rPr>
        <w:t> </w:t>
      </w:r>
      <w:r>
        <w:rPr>
          <w:color w:val="231F20"/>
          <w:sz w:val="15"/>
        </w:rPr>
        <w:t>F.,</w:t>
      </w:r>
      <w:r>
        <w:rPr>
          <w:color w:val="231F20"/>
          <w:spacing w:val="-5"/>
          <w:sz w:val="15"/>
        </w:rPr>
        <w:t> </w:t>
      </w:r>
      <w:r>
        <w:rPr>
          <w:color w:val="231F20"/>
          <w:sz w:val="15"/>
        </w:rPr>
        <w:t>Ellrich,</w:t>
      </w:r>
      <w:r>
        <w:rPr>
          <w:color w:val="231F20"/>
          <w:spacing w:val="-5"/>
          <w:sz w:val="15"/>
        </w:rPr>
        <w:t> </w:t>
      </w:r>
      <w:r>
        <w:rPr>
          <w:color w:val="231F20"/>
          <w:sz w:val="15"/>
        </w:rPr>
        <w:t>J.,</w:t>
      </w:r>
      <w:r>
        <w:rPr>
          <w:color w:val="231F20"/>
          <w:spacing w:val="-5"/>
          <w:sz w:val="15"/>
        </w:rPr>
        <w:t> </w:t>
      </w:r>
      <w:r>
        <w:rPr>
          <w:color w:val="231F20"/>
          <w:sz w:val="15"/>
        </w:rPr>
        <w:t>and</w:t>
      </w:r>
      <w:r>
        <w:rPr>
          <w:color w:val="231F20"/>
          <w:spacing w:val="-5"/>
          <w:sz w:val="15"/>
        </w:rPr>
        <w:t> </w:t>
      </w:r>
      <w:r>
        <w:rPr>
          <w:color w:val="231F20"/>
          <w:sz w:val="15"/>
        </w:rPr>
        <w:t>Eichhammer,</w:t>
      </w:r>
      <w:r>
        <w:rPr>
          <w:color w:val="231F20"/>
          <w:spacing w:val="-5"/>
          <w:sz w:val="15"/>
        </w:rPr>
        <w:t> </w:t>
      </w:r>
      <w:r>
        <w:rPr>
          <w:color w:val="231F20"/>
          <w:sz w:val="15"/>
        </w:rPr>
        <w:t>P.</w:t>
      </w:r>
      <w:r>
        <w:rPr>
          <w:color w:val="231F20"/>
          <w:spacing w:val="-5"/>
          <w:sz w:val="15"/>
        </w:rPr>
        <w:t> </w:t>
      </w:r>
      <w:r>
        <w:rPr>
          <w:color w:val="231F20"/>
          <w:sz w:val="15"/>
        </w:rPr>
        <w:t>(2012). The effect of transcutaneous vagus nerve stimulation on pain perception–an</w:t>
      </w:r>
      <w:bookmarkStart w:name="_bookmark22" w:id="40"/>
      <w:bookmarkEnd w:id="40"/>
      <w:r>
        <w:rPr>
          <w:color w:val="231F20"/>
          <w:sz w:val="15"/>
        </w:rPr>
      </w:r>
      <w:r>
        <w:rPr>
          <w:color w:val="231F20"/>
          <w:sz w:val="15"/>
        </w:rPr>
        <w:t> experimental study. </w:t>
      </w:r>
      <w:r>
        <w:rPr>
          <w:i/>
          <w:color w:val="231F20"/>
          <w:sz w:val="15"/>
        </w:rPr>
        <w:t>Brain Stimul. </w:t>
      </w:r>
      <w:hyperlink r:id="rId59">
        <w:r>
          <w:rPr>
            <w:color w:val="231F20"/>
            <w:sz w:val="15"/>
          </w:rPr>
          <w:t>6, 202–209. doi:</w:t>
        </w:r>
        <w:r>
          <w:rPr>
            <w:color w:val="231F20"/>
            <w:spacing w:val="-10"/>
            <w:sz w:val="15"/>
          </w:rPr>
          <w:t> </w:t>
        </w:r>
        <w:r>
          <w:rPr>
            <w:color w:val="231F20"/>
            <w:sz w:val="15"/>
          </w:rPr>
          <w:t>10.1016/j.brs.2012.04.006</w:t>
        </w:r>
      </w:hyperlink>
    </w:p>
    <w:p>
      <w:pPr>
        <w:spacing w:line="223" w:lineRule="auto" w:before="2"/>
        <w:ind w:left="358" w:right="155" w:hanging="200"/>
        <w:jc w:val="both"/>
        <w:rPr>
          <w:sz w:val="15"/>
        </w:rPr>
      </w:pPr>
      <w:r>
        <w:rPr>
          <w:color w:val="231F20"/>
          <w:sz w:val="15"/>
        </w:rPr>
        <w:t>Carmeliet, P., and Tessier-Lavigne, M. (2005). Common mechanisms of nerve and</w:t>
      </w:r>
      <w:bookmarkStart w:name="_bookmark23" w:id="41"/>
      <w:bookmarkEnd w:id="41"/>
      <w:r>
        <w:rPr>
          <w:color w:val="231F20"/>
          <w:sz w:val="15"/>
        </w:rPr>
      </w:r>
      <w:r>
        <w:rPr>
          <w:color w:val="231F20"/>
          <w:sz w:val="15"/>
        </w:rPr>
        <w:t> blood vessel wiring. </w:t>
      </w:r>
      <w:r>
        <w:rPr>
          <w:i/>
          <w:color w:val="231F20"/>
          <w:sz w:val="15"/>
        </w:rPr>
        <w:t>Nature </w:t>
      </w:r>
      <w:hyperlink r:id="rId60">
        <w:r>
          <w:rPr>
            <w:color w:val="231F20"/>
            <w:sz w:val="15"/>
          </w:rPr>
          <w:t>436, 193–200. doi: 10.1038/nature03875</w:t>
        </w:r>
      </w:hyperlink>
    </w:p>
    <w:p>
      <w:pPr>
        <w:spacing w:line="223" w:lineRule="auto" w:before="0"/>
        <w:ind w:left="358" w:right="155" w:hanging="200"/>
        <w:jc w:val="both"/>
        <w:rPr>
          <w:sz w:val="15"/>
        </w:rPr>
      </w:pPr>
      <w:r>
        <w:rPr>
          <w:color w:val="231F20"/>
          <w:sz w:val="15"/>
        </w:rPr>
        <w:t>Chen, M., Yu, L., Ouyang, F., Liu, Q., Wang, Z., Wang, S., et al. (2015). The   </w:t>
      </w:r>
      <w:r>
        <w:rPr>
          <w:color w:val="231F20"/>
          <w:spacing w:val="34"/>
          <w:sz w:val="15"/>
        </w:rPr>
        <w:t> </w:t>
      </w:r>
      <w:r>
        <w:rPr>
          <w:color w:val="231F20"/>
          <w:sz w:val="15"/>
        </w:rPr>
        <w:t>right side or left side of noninvasive transcutaneous vagus nerve stimulation: Based</w:t>
      </w:r>
      <w:r>
        <w:rPr>
          <w:color w:val="231F20"/>
          <w:spacing w:val="-10"/>
          <w:sz w:val="15"/>
        </w:rPr>
        <w:t> </w:t>
      </w:r>
      <w:r>
        <w:rPr>
          <w:color w:val="231F20"/>
          <w:sz w:val="15"/>
        </w:rPr>
        <w:t>on</w:t>
      </w:r>
      <w:r>
        <w:rPr>
          <w:color w:val="231F20"/>
          <w:spacing w:val="-9"/>
          <w:sz w:val="15"/>
        </w:rPr>
        <w:t> </w:t>
      </w:r>
      <w:r>
        <w:rPr>
          <w:color w:val="231F20"/>
          <w:sz w:val="15"/>
        </w:rPr>
        <w:t>conventional</w:t>
      </w:r>
      <w:r>
        <w:rPr>
          <w:color w:val="231F20"/>
          <w:spacing w:val="-10"/>
          <w:sz w:val="15"/>
        </w:rPr>
        <w:t> </w:t>
      </w:r>
      <w:r>
        <w:rPr>
          <w:color w:val="231F20"/>
          <w:sz w:val="15"/>
        </w:rPr>
        <w:t>wisdom</w:t>
      </w:r>
      <w:r>
        <w:rPr>
          <w:color w:val="231F20"/>
          <w:spacing w:val="-9"/>
          <w:sz w:val="15"/>
        </w:rPr>
        <w:t> </w:t>
      </w:r>
      <w:r>
        <w:rPr>
          <w:color w:val="231F20"/>
          <w:sz w:val="15"/>
        </w:rPr>
        <w:t>or</w:t>
      </w:r>
      <w:r>
        <w:rPr>
          <w:color w:val="231F20"/>
          <w:spacing w:val="-9"/>
          <w:sz w:val="15"/>
        </w:rPr>
        <w:t> </w:t>
      </w:r>
      <w:r>
        <w:rPr>
          <w:color w:val="231F20"/>
          <w:sz w:val="15"/>
        </w:rPr>
        <w:t>scientific</w:t>
      </w:r>
      <w:r>
        <w:rPr>
          <w:color w:val="231F20"/>
          <w:spacing w:val="-10"/>
          <w:sz w:val="15"/>
        </w:rPr>
        <w:t> </w:t>
      </w:r>
      <w:r>
        <w:rPr>
          <w:color w:val="231F20"/>
          <w:sz w:val="15"/>
        </w:rPr>
        <w:t>evidence?</w:t>
      </w:r>
      <w:r>
        <w:rPr>
          <w:color w:val="231F20"/>
          <w:spacing w:val="-9"/>
          <w:sz w:val="15"/>
        </w:rPr>
        <w:t> </w:t>
      </w:r>
      <w:r>
        <w:rPr>
          <w:i/>
          <w:color w:val="231F20"/>
          <w:sz w:val="15"/>
        </w:rPr>
        <w:t>Int.</w:t>
      </w:r>
      <w:r>
        <w:rPr>
          <w:i/>
          <w:color w:val="231F20"/>
          <w:spacing w:val="-9"/>
          <w:sz w:val="15"/>
        </w:rPr>
        <w:t> </w:t>
      </w:r>
      <w:r>
        <w:rPr>
          <w:i/>
          <w:color w:val="231F20"/>
          <w:sz w:val="15"/>
        </w:rPr>
        <w:t>J.</w:t>
      </w:r>
      <w:r>
        <w:rPr>
          <w:i/>
          <w:color w:val="231F20"/>
          <w:spacing w:val="-10"/>
          <w:sz w:val="15"/>
        </w:rPr>
        <w:t> </w:t>
      </w:r>
      <w:r>
        <w:rPr>
          <w:i/>
          <w:color w:val="231F20"/>
          <w:sz w:val="15"/>
        </w:rPr>
        <w:t>Cardiol.</w:t>
      </w:r>
      <w:r>
        <w:rPr>
          <w:i/>
          <w:color w:val="231F20"/>
          <w:spacing w:val="-10"/>
          <w:sz w:val="15"/>
        </w:rPr>
        <w:t> </w:t>
      </w:r>
      <w:r>
        <w:rPr>
          <w:color w:val="231F20"/>
          <w:sz w:val="15"/>
        </w:rPr>
        <w:t>187,</w:t>
      </w:r>
      <w:r>
        <w:rPr>
          <w:color w:val="231F20"/>
          <w:spacing w:val="-10"/>
          <w:sz w:val="15"/>
        </w:rPr>
        <w:t> </w:t>
      </w:r>
      <w:r>
        <w:rPr>
          <w:color w:val="231F20"/>
          <w:sz w:val="15"/>
        </w:rPr>
        <w:t>44–45.</w:t>
      </w:r>
      <w:bookmarkStart w:name="_bookmark24" w:id="42"/>
      <w:bookmarkEnd w:id="42"/>
      <w:r>
        <w:rPr>
          <w:color w:val="231F20"/>
          <w:sz w:val="15"/>
        </w:rPr>
      </w:r>
      <w:r>
        <w:rPr>
          <w:color w:val="231F20"/>
          <w:sz w:val="15"/>
        </w:rPr>
        <w:t> </w:t>
      </w:r>
      <w:hyperlink r:id="rId61">
        <w:r>
          <w:rPr>
            <w:color w:val="231F20"/>
            <w:sz w:val="15"/>
          </w:rPr>
          <w:t>doi: 10.1016/j.ijcard.2015.03.351</w:t>
        </w:r>
      </w:hyperlink>
    </w:p>
    <w:p>
      <w:pPr>
        <w:spacing w:line="223" w:lineRule="auto" w:before="3"/>
        <w:ind w:left="358" w:right="155" w:hanging="200"/>
        <w:jc w:val="both"/>
        <w:rPr>
          <w:sz w:val="15"/>
        </w:rPr>
      </w:pPr>
      <w:r>
        <w:rPr>
          <w:color w:val="231F20"/>
          <w:sz w:val="15"/>
        </w:rPr>
        <w:t>Dawson, J., Pierce, D., Dixit, A., Kimberley, T. J., Robertson, M., </w:t>
      </w:r>
      <w:r>
        <w:rPr>
          <w:color w:val="231F20"/>
          <w:spacing w:val="-3"/>
          <w:sz w:val="15"/>
        </w:rPr>
        <w:t>Tarver, </w:t>
      </w:r>
      <w:r>
        <w:rPr>
          <w:color w:val="231F20"/>
          <w:sz w:val="15"/>
        </w:rPr>
        <w:t>B., et al.</w:t>
      </w:r>
      <w:r>
        <w:rPr>
          <w:color w:val="231F20"/>
          <w:spacing w:val="34"/>
          <w:sz w:val="15"/>
        </w:rPr>
        <w:t> </w:t>
      </w:r>
      <w:r>
        <w:rPr>
          <w:color w:val="231F20"/>
          <w:sz w:val="15"/>
        </w:rPr>
        <w:t>(2015). Safety, feasibility, and efficacy of vagus nerve stimulation paired with upper-limb rehabilitation after ischemic stroke. </w:t>
      </w:r>
      <w:r>
        <w:rPr>
          <w:i/>
          <w:color w:val="231F20"/>
          <w:sz w:val="15"/>
        </w:rPr>
        <w:t>Stroke </w:t>
      </w:r>
      <w:r>
        <w:rPr>
          <w:color w:val="231F20"/>
          <w:sz w:val="15"/>
        </w:rPr>
        <w:t>47, 143–150. </w:t>
      </w:r>
      <w:hyperlink r:id="rId62">
        <w:r>
          <w:rPr>
            <w:color w:val="231F20"/>
            <w:sz w:val="15"/>
          </w:rPr>
          <w:t>doi: 10.</w:t>
        </w:r>
      </w:hyperlink>
      <w:bookmarkStart w:name="_bookmark25" w:id="43"/>
      <w:bookmarkEnd w:id="43"/>
      <w:r>
        <w:rPr>
          <w:color w:val="231F20"/>
          <w:sz w:val="15"/>
        </w:rPr>
      </w:r>
      <w:r>
        <w:rPr>
          <w:color w:val="231F20"/>
          <w:sz w:val="15"/>
        </w:rPr>
        <w:t> </w:t>
      </w:r>
      <w:hyperlink r:id="rId62">
        <w:r>
          <w:rPr>
            <w:color w:val="231F20"/>
            <w:sz w:val="15"/>
          </w:rPr>
          <w:t>1161/STROKEAHA.115.010477</w:t>
        </w:r>
      </w:hyperlink>
    </w:p>
    <w:p>
      <w:pPr>
        <w:spacing w:line="223" w:lineRule="auto" w:before="3"/>
        <w:ind w:left="358" w:right="155" w:hanging="200"/>
        <w:jc w:val="both"/>
        <w:rPr>
          <w:sz w:val="15"/>
        </w:rPr>
      </w:pPr>
      <w:r>
        <w:rPr>
          <w:color w:val="231F20"/>
          <w:sz w:val="15"/>
        </w:rPr>
        <w:t>De Ridder, D., </w:t>
      </w:r>
      <w:r>
        <w:rPr>
          <w:color w:val="231F20"/>
          <w:spacing w:val="-2"/>
          <w:sz w:val="15"/>
        </w:rPr>
        <w:t>Vanneste,  </w:t>
      </w:r>
      <w:r>
        <w:rPr>
          <w:color w:val="231F20"/>
          <w:sz w:val="15"/>
        </w:rPr>
        <w:t>S., Engineer, N. D., and Kilgard, M. P. (2013). Safety</w:t>
      </w:r>
      <w:r>
        <w:rPr>
          <w:color w:val="231F20"/>
          <w:spacing w:val="34"/>
          <w:sz w:val="15"/>
        </w:rPr>
        <w:t> </w:t>
      </w:r>
      <w:r>
        <w:rPr>
          <w:color w:val="231F20"/>
          <w:sz w:val="15"/>
        </w:rPr>
        <w:t>and efficacy of vagus nerve stimulation paired with tones for the treatment   </w:t>
      </w:r>
      <w:r>
        <w:rPr>
          <w:color w:val="231F20"/>
          <w:spacing w:val="34"/>
          <w:sz w:val="15"/>
        </w:rPr>
        <w:t> </w:t>
      </w:r>
      <w:r>
        <w:rPr>
          <w:color w:val="231F20"/>
          <w:sz w:val="15"/>
        </w:rPr>
        <w:t>of tinnitus: a case series. </w:t>
      </w:r>
      <w:r>
        <w:rPr>
          <w:i/>
          <w:color w:val="231F20"/>
          <w:sz w:val="15"/>
        </w:rPr>
        <w:t>Neuromodulation </w:t>
      </w:r>
      <w:r>
        <w:rPr>
          <w:color w:val="231F20"/>
          <w:sz w:val="15"/>
        </w:rPr>
        <w:t>17, 170–179. </w:t>
      </w:r>
      <w:hyperlink r:id="rId63">
        <w:r>
          <w:rPr>
            <w:color w:val="231F20"/>
            <w:sz w:val="15"/>
          </w:rPr>
          <w:t>doi: 10.1111/ner.</w:t>
        </w:r>
      </w:hyperlink>
      <w:bookmarkStart w:name="_bookmark26" w:id="44"/>
      <w:bookmarkEnd w:id="44"/>
      <w:r>
        <w:rPr>
          <w:color w:val="231F20"/>
          <w:sz w:val="15"/>
        </w:rPr>
      </w:r>
      <w:r>
        <w:rPr>
          <w:color w:val="231F20"/>
          <w:sz w:val="15"/>
        </w:rPr>
        <w:t> </w:t>
      </w:r>
      <w:hyperlink r:id="rId63">
        <w:r>
          <w:rPr>
            <w:color w:val="231F20"/>
            <w:sz w:val="15"/>
          </w:rPr>
          <w:t>12127</w:t>
        </w:r>
      </w:hyperlink>
    </w:p>
    <w:p>
      <w:pPr>
        <w:spacing w:line="223" w:lineRule="auto" w:before="2"/>
        <w:ind w:left="358" w:right="155" w:hanging="200"/>
        <w:jc w:val="both"/>
        <w:rPr>
          <w:sz w:val="15"/>
        </w:rPr>
      </w:pPr>
      <w:r>
        <w:rPr>
          <w:color w:val="231F20"/>
          <w:sz w:val="15"/>
        </w:rPr>
        <w:t>De </w:t>
      </w:r>
      <w:r>
        <w:rPr>
          <w:color w:val="231F20"/>
          <w:spacing w:val="-3"/>
          <w:sz w:val="15"/>
        </w:rPr>
        <w:t>Taeye, </w:t>
      </w:r>
      <w:r>
        <w:rPr>
          <w:color w:val="231F20"/>
          <w:sz w:val="15"/>
        </w:rPr>
        <w:t>L., Vonck, K., van Bochove, M., Boon, P., </w:t>
      </w:r>
      <w:r>
        <w:rPr>
          <w:color w:val="231F20"/>
          <w:spacing w:val="-6"/>
          <w:sz w:val="15"/>
        </w:rPr>
        <w:t>Van </w:t>
      </w:r>
      <w:r>
        <w:rPr>
          <w:color w:val="231F20"/>
          <w:sz w:val="15"/>
        </w:rPr>
        <w:t>Roost, D., Mollet, L., et al. (2014). The P3 event-related potential is a biomarker for the efficacy of vagus nerve stimulation in patients with epilepsy. </w:t>
      </w:r>
      <w:r>
        <w:rPr>
          <w:i/>
          <w:color w:val="231F20"/>
          <w:sz w:val="15"/>
        </w:rPr>
        <w:t>Neurotherapeutics </w:t>
      </w:r>
      <w:r>
        <w:rPr>
          <w:color w:val="231F20"/>
          <w:sz w:val="15"/>
        </w:rPr>
        <w:t>11, 612–622.</w:t>
      </w:r>
      <w:bookmarkStart w:name="_bookmark27" w:id="45"/>
      <w:bookmarkEnd w:id="45"/>
      <w:r>
        <w:rPr>
          <w:color w:val="231F20"/>
          <w:sz w:val="15"/>
        </w:rPr>
      </w:r>
      <w:r>
        <w:rPr>
          <w:color w:val="231F20"/>
          <w:sz w:val="15"/>
        </w:rPr>
        <w:t> </w:t>
      </w:r>
      <w:hyperlink r:id="rId64">
        <w:r>
          <w:rPr>
            <w:color w:val="231F20"/>
            <w:sz w:val="15"/>
          </w:rPr>
          <w:t>doi: 10.1007/s13311-014-0272-3</w:t>
        </w:r>
      </w:hyperlink>
    </w:p>
    <w:p>
      <w:pPr>
        <w:spacing w:line="223" w:lineRule="auto" w:before="3"/>
        <w:ind w:left="358" w:right="155" w:hanging="200"/>
        <w:jc w:val="both"/>
        <w:rPr>
          <w:sz w:val="15"/>
        </w:rPr>
      </w:pPr>
      <w:r>
        <w:rPr>
          <w:color w:val="231F20"/>
          <w:sz w:val="15"/>
        </w:rPr>
        <w:t>Deuchars,  S.  A.,  Lall,  V.  K.,  Clancy,  J.,  Mahadi,  M.,  Murray,  A.,  Peers,  L.,</w:t>
      </w:r>
      <w:r>
        <w:rPr>
          <w:color w:val="231F20"/>
          <w:spacing w:val="34"/>
          <w:sz w:val="15"/>
        </w:rPr>
        <w:t> </w:t>
      </w:r>
      <w:r>
        <w:rPr>
          <w:color w:val="231F20"/>
          <w:sz w:val="15"/>
        </w:rPr>
        <w:t>et al. (2017). Mechanisms underpinning sympathetic nervous activity and its modulation using transcutaneous vagus nerve stimulation. </w:t>
      </w:r>
      <w:r>
        <w:rPr>
          <w:i/>
          <w:color w:val="231F20"/>
          <w:sz w:val="15"/>
        </w:rPr>
        <w:t>Exp. Physiol. </w:t>
      </w:r>
      <w:r>
        <w:rPr>
          <w:color w:val="231F20"/>
          <w:spacing w:val="-3"/>
          <w:sz w:val="15"/>
        </w:rPr>
        <w:t>103,</w:t>
      </w:r>
      <w:bookmarkStart w:name="_bookmark28" w:id="46"/>
      <w:bookmarkEnd w:id="46"/>
      <w:r>
        <w:rPr>
          <w:color w:val="231F20"/>
          <w:spacing w:val="-3"/>
          <w:sz w:val="15"/>
        </w:rPr>
      </w:r>
      <w:r>
        <w:rPr>
          <w:color w:val="231F20"/>
          <w:spacing w:val="-3"/>
          <w:sz w:val="15"/>
        </w:rPr>
        <w:t> </w:t>
      </w:r>
      <w:hyperlink r:id="rId65">
        <w:r>
          <w:rPr>
            <w:color w:val="231F20"/>
            <w:sz w:val="15"/>
          </w:rPr>
          <w:t>326–331. doi: 10.1113/EP086433</w:t>
        </w:r>
      </w:hyperlink>
    </w:p>
    <w:p>
      <w:pPr>
        <w:spacing w:line="223" w:lineRule="auto" w:before="2"/>
        <w:ind w:left="358" w:right="155" w:hanging="200"/>
        <w:jc w:val="both"/>
        <w:rPr>
          <w:sz w:val="15"/>
        </w:rPr>
      </w:pPr>
      <w:r>
        <w:rPr>
          <w:color w:val="231F20"/>
          <w:sz w:val="15"/>
        </w:rPr>
        <w:t>Dietrich, S., Smith, J., Scherzinger, C., Hofmann-Preiss, K., Freitag, T., Eisenkolb, A., et al. (2008). [A novel transcutaneous vagus nerve stimulation leads to brainstem</w:t>
      </w:r>
      <w:r>
        <w:rPr>
          <w:color w:val="231F20"/>
          <w:spacing w:val="-7"/>
          <w:sz w:val="15"/>
        </w:rPr>
        <w:t> </w:t>
      </w:r>
      <w:r>
        <w:rPr>
          <w:color w:val="231F20"/>
          <w:sz w:val="15"/>
        </w:rPr>
        <w:t>and</w:t>
      </w:r>
      <w:r>
        <w:rPr>
          <w:color w:val="231F20"/>
          <w:spacing w:val="-7"/>
          <w:sz w:val="15"/>
        </w:rPr>
        <w:t> </w:t>
      </w:r>
      <w:r>
        <w:rPr>
          <w:color w:val="231F20"/>
          <w:sz w:val="15"/>
        </w:rPr>
        <w:t>cerebral</w:t>
      </w:r>
      <w:r>
        <w:rPr>
          <w:color w:val="231F20"/>
          <w:spacing w:val="-7"/>
          <w:sz w:val="15"/>
        </w:rPr>
        <w:t> </w:t>
      </w:r>
      <w:r>
        <w:rPr>
          <w:color w:val="231F20"/>
          <w:sz w:val="15"/>
        </w:rPr>
        <w:t>activations</w:t>
      </w:r>
      <w:r>
        <w:rPr>
          <w:color w:val="231F20"/>
          <w:spacing w:val="-7"/>
          <w:sz w:val="15"/>
        </w:rPr>
        <w:t> </w:t>
      </w:r>
      <w:r>
        <w:rPr>
          <w:color w:val="231F20"/>
          <w:sz w:val="15"/>
        </w:rPr>
        <w:t>measured</w:t>
      </w:r>
      <w:r>
        <w:rPr>
          <w:color w:val="231F20"/>
          <w:spacing w:val="-7"/>
          <w:sz w:val="15"/>
        </w:rPr>
        <w:t> </w:t>
      </w:r>
      <w:r>
        <w:rPr>
          <w:color w:val="231F20"/>
          <w:sz w:val="15"/>
        </w:rPr>
        <w:t>by</w:t>
      </w:r>
      <w:r>
        <w:rPr>
          <w:color w:val="231F20"/>
          <w:spacing w:val="-7"/>
          <w:sz w:val="15"/>
        </w:rPr>
        <w:t> </w:t>
      </w:r>
      <w:r>
        <w:rPr>
          <w:color w:val="231F20"/>
          <w:sz w:val="15"/>
        </w:rPr>
        <w:t>functional</w:t>
      </w:r>
      <w:r>
        <w:rPr>
          <w:color w:val="231F20"/>
          <w:spacing w:val="-7"/>
          <w:sz w:val="15"/>
        </w:rPr>
        <w:t> </w:t>
      </w:r>
      <w:r>
        <w:rPr>
          <w:color w:val="231F20"/>
          <w:sz w:val="15"/>
        </w:rPr>
        <w:t>MRI].</w:t>
      </w:r>
      <w:r>
        <w:rPr>
          <w:color w:val="231F20"/>
          <w:spacing w:val="-7"/>
          <w:sz w:val="15"/>
        </w:rPr>
        <w:t> </w:t>
      </w:r>
      <w:r>
        <w:rPr>
          <w:i/>
          <w:color w:val="231F20"/>
          <w:sz w:val="15"/>
        </w:rPr>
        <w:t>Biomed.</w:t>
      </w:r>
      <w:r>
        <w:rPr>
          <w:i/>
          <w:color w:val="231F20"/>
          <w:spacing w:val="-7"/>
          <w:sz w:val="15"/>
        </w:rPr>
        <w:t> </w:t>
      </w:r>
      <w:r>
        <w:rPr>
          <w:i/>
          <w:color w:val="231F20"/>
          <w:sz w:val="15"/>
        </w:rPr>
        <w:t>Tech. </w:t>
      </w:r>
      <w:hyperlink r:id="rId66">
        <w:r>
          <w:rPr>
            <w:color w:val="231F20"/>
            <w:sz w:val="15"/>
          </w:rPr>
          <w:t>53, 104–111. doi: 10.1515/BMT.2008.022</w:t>
        </w:r>
      </w:hyperlink>
    </w:p>
    <w:p>
      <w:pPr>
        <w:spacing w:after="0" w:line="223" w:lineRule="auto"/>
        <w:jc w:val="both"/>
        <w:rPr>
          <w:sz w:val="15"/>
        </w:rPr>
        <w:sectPr>
          <w:type w:val="continuous"/>
          <w:pgSz w:w="11910" w:h="15600"/>
          <w:pgMar w:top="520" w:bottom="780" w:left="740" w:right="740"/>
          <w:cols w:num="2" w:equalWidth="0">
            <w:col w:w="5101" w:space="67"/>
            <w:col w:w="5262"/>
          </w:cols>
        </w:sectPr>
      </w:pPr>
    </w:p>
    <w:p>
      <w:pPr>
        <w:pStyle w:val="BodyText"/>
        <w:spacing w:before="3"/>
        <w:ind w:left="0"/>
        <w:rPr>
          <w:sz w:val="22"/>
        </w:rPr>
      </w:pPr>
    </w:p>
    <w:p>
      <w:pPr>
        <w:spacing w:after="0"/>
        <w:rPr>
          <w:sz w:val="22"/>
        </w:rPr>
        <w:sectPr>
          <w:pgSz w:w="11910" w:h="15600"/>
          <w:pgMar w:header="560" w:footer="588" w:top="840" w:bottom="780" w:left="740" w:right="740"/>
        </w:sectPr>
      </w:pPr>
    </w:p>
    <w:p>
      <w:pPr>
        <w:spacing w:line="223" w:lineRule="auto" w:before="100"/>
        <w:ind w:left="159" w:right="0" w:firstLine="0"/>
        <w:jc w:val="right"/>
        <w:rPr>
          <w:sz w:val="15"/>
        </w:rPr>
      </w:pPr>
      <w:bookmarkStart w:name="_bookmark30" w:id="47"/>
      <w:bookmarkEnd w:id="47"/>
      <w:r>
        <w:rPr/>
      </w:r>
      <w:r>
        <w:rPr>
          <w:color w:val="231F20"/>
          <w:sz w:val="15"/>
        </w:rPr>
        <w:t>Eggleston, K. S., Olin, B. D., and Fisher, R. S. (2014). Ictal tachycardia: the </w:t>
      </w:r>
      <w:bookmarkStart w:name="_bookmark29" w:id="48"/>
      <w:bookmarkEnd w:id="48"/>
      <w:r>
        <w:rPr>
          <w:color w:val="231F20"/>
          <w:sz w:val="15"/>
        </w:rPr>
      </w:r>
      <w:r>
        <w:rPr>
          <w:color w:val="231F20"/>
          <w:sz w:val="15"/>
        </w:rPr>
        <w:t>head-heart connection. </w:t>
      </w:r>
      <w:r>
        <w:rPr>
          <w:i/>
          <w:color w:val="231F20"/>
          <w:sz w:val="15"/>
        </w:rPr>
        <w:t>Seizure </w:t>
      </w:r>
      <w:r>
        <w:rPr>
          <w:color w:val="231F20"/>
          <w:sz w:val="15"/>
        </w:rPr>
        <w:t>23, 496–505. </w:t>
      </w:r>
      <w:hyperlink r:id="rId67">
        <w:r>
          <w:rPr>
            <w:color w:val="231F20"/>
            <w:sz w:val="15"/>
          </w:rPr>
          <w:t>doi: 10.1016/j.seizure.2014.02.012</w:t>
        </w:r>
      </w:hyperlink>
      <w:r>
        <w:rPr>
          <w:color w:val="231F20"/>
          <w:sz w:val="15"/>
        </w:rPr>
        <w:t> Ellrich, J. (2011). Transcutaneous vagus nerve stimulation. </w:t>
      </w:r>
      <w:r>
        <w:rPr>
          <w:i/>
          <w:color w:val="231F20"/>
          <w:sz w:val="15"/>
        </w:rPr>
        <w:t>Eur. Neurol. Rev. </w:t>
      </w:r>
      <w:r>
        <w:rPr>
          <w:color w:val="231F20"/>
          <w:sz w:val="15"/>
        </w:rPr>
        <w:t>6,</w:t>
      </w:r>
    </w:p>
    <w:p>
      <w:pPr>
        <w:spacing w:line="185" w:lineRule="exact" w:before="0"/>
        <w:ind w:left="358" w:right="0" w:firstLine="0"/>
        <w:jc w:val="left"/>
        <w:rPr>
          <w:sz w:val="15"/>
        </w:rPr>
      </w:pPr>
      <w:bookmarkStart w:name="_bookmark31" w:id="49"/>
      <w:bookmarkEnd w:id="49"/>
      <w:r>
        <w:rPr/>
      </w:r>
      <w:r>
        <w:rPr>
          <w:color w:val="231F20"/>
          <w:sz w:val="15"/>
        </w:rPr>
        <w:t>254–256.</w:t>
      </w:r>
    </w:p>
    <w:p>
      <w:pPr>
        <w:spacing w:line="223" w:lineRule="auto" w:before="4"/>
        <w:ind w:left="358" w:right="0" w:hanging="200"/>
        <w:jc w:val="both"/>
        <w:rPr>
          <w:sz w:val="15"/>
        </w:rPr>
      </w:pPr>
      <w:r>
        <w:rPr>
          <w:color w:val="231F20"/>
          <w:sz w:val="15"/>
        </w:rPr>
        <w:t>Ellrich, J.,  and  Lamp,  S.  (2005).  Peripheral  nerve  stimulation  inhibits  nociceptive processing: an electrophysiological study in healthy volunteers.</w:t>
      </w:r>
      <w:bookmarkStart w:name="_bookmark32" w:id="50"/>
      <w:bookmarkEnd w:id="50"/>
      <w:r>
        <w:rPr>
          <w:color w:val="231F20"/>
          <w:sz w:val="15"/>
        </w:rPr>
      </w:r>
      <w:r>
        <w:rPr>
          <w:color w:val="231F20"/>
          <w:sz w:val="15"/>
        </w:rPr>
        <w:t> </w:t>
      </w:r>
      <w:r>
        <w:rPr>
          <w:i/>
          <w:color w:val="231F20"/>
          <w:sz w:val="15"/>
        </w:rPr>
        <w:t>Neuromodulation </w:t>
      </w:r>
      <w:hyperlink r:id="rId68">
        <w:r>
          <w:rPr>
            <w:color w:val="231F20"/>
            <w:sz w:val="15"/>
          </w:rPr>
          <w:t>8, 225–232. doi: 10.1111/j.1525-1403.2005.00029.x</w:t>
        </w:r>
      </w:hyperlink>
    </w:p>
    <w:p>
      <w:pPr>
        <w:spacing w:line="223" w:lineRule="auto" w:before="1"/>
        <w:ind w:left="358" w:right="0" w:hanging="200"/>
        <w:jc w:val="both"/>
        <w:rPr>
          <w:sz w:val="15"/>
        </w:rPr>
      </w:pPr>
      <w:r>
        <w:rPr>
          <w:color w:val="231F20"/>
          <w:sz w:val="15"/>
        </w:rPr>
        <w:t>Fallen, E. L., Kamath, M. V., Tougas, G., and Upton, A. (2001). Afferent vagal modulation. Clinical studies of visceral sensory input. </w:t>
      </w:r>
      <w:r>
        <w:rPr>
          <w:i/>
          <w:color w:val="231F20"/>
          <w:sz w:val="15"/>
        </w:rPr>
        <w:t>Auton. Neurosci. </w:t>
      </w:r>
      <w:r>
        <w:rPr>
          <w:color w:val="231F20"/>
          <w:sz w:val="15"/>
        </w:rPr>
        <w:t>90,</w:t>
      </w:r>
      <w:bookmarkStart w:name="_bookmark33" w:id="51"/>
      <w:bookmarkEnd w:id="51"/>
      <w:r>
        <w:rPr>
          <w:color w:val="231F20"/>
          <w:sz w:val="15"/>
        </w:rPr>
      </w:r>
      <w:r>
        <w:rPr>
          <w:color w:val="231F20"/>
          <w:sz w:val="15"/>
        </w:rPr>
        <w:t> </w:t>
      </w:r>
      <w:hyperlink r:id="rId69">
        <w:r>
          <w:rPr>
            <w:color w:val="231F20"/>
            <w:sz w:val="15"/>
          </w:rPr>
          <w:t>35–40. doi: 10.1016/S1566-0702(01)00265-X</w:t>
        </w:r>
      </w:hyperlink>
    </w:p>
    <w:p>
      <w:pPr>
        <w:spacing w:line="223" w:lineRule="auto" w:before="2"/>
        <w:ind w:left="358" w:right="0" w:hanging="200"/>
        <w:jc w:val="both"/>
        <w:rPr>
          <w:sz w:val="15"/>
        </w:rPr>
      </w:pPr>
      <w:r>
        <w:rPr>
          <w:color w:val="231F20"/>
          <w:sz w:val="15"/>
        </w:rPr>
        <w:t>Frei, M. G., and Osorio, I. (2001). Left vagus nerve stimulation with the neurocybernetic prosthesis has complex effects on heart rate and on its variability in humans. </w:t>
      </w:r>
      <w:r>
        <w:rPr>
          <w:i/>
          <w:color w:val="231F20"/>
          <w:sz w:val="15"/>
        </w:rPr>
        <w:t>Epilepsia </w:t>
      </w:r>
      <w:r>
        <w:rPr>
          <w:color w:val="231F20"/>
          <w:sz w:val="15"/>
        </w:rPr>
        <w:t>42, 1007–1016. </w:t>
      </w:r>
      <w:hyperlink r:id="rId70">
        <w:r>
          <w:rPr>
            <w:color w:val="231F20"/>
            <w:sz w:val="15"/>
          </w:rPr>
          <w:t>doi: 10.1046/j.1528-1157.2001.</w:t>
        </w:r>
      </w:hyperlink>
      <w:bookmarkStart w:name="_bookmark34" w:id="52"/>
      <w:bookmarkEnd w:id="52"/>
      <w:r>
        <w:rPr>
          <w:color w:val="231F20"/>
          <w:sz w:val="15"/>
        </w:rPr>
      </w:r>
      <w:r>
        <w:rPr>
          <w:color w:val="231F20"/>
          <w:sz w:val="15"/>
        </w:rPr>
        <w:t> </w:t>
      </w:r>
      <w:hyperlink r:id="rId70">
        <w:r>
          <w:rPr>
            <w:color w:val="231F20"/>
            <w:sz w:val="15"/>
          </w:rPr>
          <w:t>0420081007.x</w:t>
        </w:r>
      </w:hyperlink>
    </w:p>
    <w:p>
      <w:pPr>
        <w:spacing w:line="223" w:lineRule="auto" w:before="2"/>
        <w:ind w:left="358" w:right="0" w:hanging="200"/>
        <w:jc w:val="both"/>
        <w:rPr>
          <w:sz w:val="15"/>
        </w:rPr>
      </w:pPr>
      <w:r>
        <w:rPr>
          <w:color w:val="231F20"/>
          <w:sz w:val="15"/>
        </w:rPr>
        <w:t>Garcia, R. G., Lin, R.  L.,  Lee,  J.,  Kim,  J.,  Barbieri,  R.,  Sclocco,  R.,  et  </w:t>
      </w:r>
      <w:r>
        <w:rPr>
          <w:color w:val="231F20"/>
          <w:spacing w:val="-4"/>
          <w:sz w:val="15"/>
        </w:rPr>
        <w:t>al.  </w:t>
      </w:r>
      <w:r>
        <w:rPr>
          <w:color w:val="231F20"/>
          <w:sz w:val="15"/>
        </w:rPr>
        <w:t>(2017). Modulation of brainstem activity and connectivity by </w:t>
      </w:r>
      <w:r>
        <w:rPr>
          <w:color w:val="231F20"/>
          <w:spacing w:val="-3"/>
          <w:sz w:val="15"/>
        </w:rPr>
        <w:t>respiratory-  </w:t>
      </w:r>
      <w:r>
        <w:rPr>
          <w:color w:val="231F20"/>
          <w:sz w:val="15"/>
        </w:rPr>
        <w:t>gated auricular vagal afferent nerve stimulation in migraine patients. </w:t>
      </w:r>
      <w:r>
        <w:rPr>
          <w:i/>
          <w:color w:val="231F20"/>
          <w:sz w:val="15"/>
        </w:rPr>
        <w:t>Pain </w:t>
      </w:r>
      <w:r>
        <w:rPr>
          <w:color w:val="231F20"/>
          <w:sz w:val="15"/>
        </w:rPr>
        <w:t>158,</w:t>
      </w:r>
      <w:bookmarkStart w:name="_bookmark35" w:id="53"/>
      <w:bookmarkEnd w:id="53"/>
      <w:r>
        <w:rPr>
          <w:color w:val="231F20"/>
          <w:sz w:val="15"/>
        </w:rPr>
      </w:r>
      <w:r>
        <w:rPr>
          <w:color w:val="231F20"/>
          <w:sz w:val="15"/>
        </w:rPr>
        <w:t> </w:t>
      </w:r>
      <w:hyperlink r:id="rId71">
        <w:r>
          <w:rPr>
            <w:color w:val="231F20"/>
            <w:sz w:val="15"/>
          </w:rPr>
          <w:t>1461–1472. doi: 10.1097/j.pain.0000000000000930</w:t>
        </w:r>
      </w:hyperlink>
    </w:p>
    <w:p>
      <w:pPr>
        <w:spacing w:line="223" w:lineRule="auto" w:before="3"/>
        <w:ind w:left="358" w:right="0" w:hanging="200"/>
        <w:jc w:val="both"/>
        <w:rPr>
          <w:sz w:val="15"/>
        </w:rPr>
      </w:pPr>
      <w:r>
        <w:rPr>
          <w:color w:val="231F20"/>
          <w:sz w:val="15"/>
        </w:rPr>
        <w:t>Gaul,</w:t>
      </w:r>
      <w:r>
        <w:rPr>
          <w:color w:val="231F20"/>
          <w:spacing w:val="-9"/>
          <w:sz w:val="15"/>
        </w:rPr>
        <w:t> </w:t>
      </w:r>
      <w:r>
        <w:rPr>
          <w:color w:val="231F20"/>
          <w:sz w:val="15"/>
        </w:rPr>
        <w:t>C.,</w:t>
      </w:r>
      <w:r>
        <w:rPr>
          <w:color w:val="231F20"/>
          <w:spacing w:val="-8"/>
          <w:sz w:val="15"/>
        </w:rPr>
        <w:t> </w:t>
      </w:r>
      <w:r>
        <w:rPr>
          <w:color w:val="231F20"/>
          <w:sz w:val="15"/>
        </w:rPr>
        <w:t>Diener,</w:t>
      </w:r>
      <w:r>
        <w:rPr>
          <w:color w:val="231F20"/>
          <w:spacing w:val="-8"/>
          <w:sz w:val="15"/>
        </w:rPr>
        <w:t> </w:t>
      </w:r>
      <w:r>
        <w:rPr>
          <w:color w:val="231F20"/>
          <w:sz w:val="15"/>
        </w:rPr>
        <w:t>H.</w:t>
      </w:r>
      <w:r>
        <w:rPr>
          <w:color w:val="231F20"/>
          <w:spacing w:val="-8"/>
          <w:sz w:val="15"/>
        </w:rPr>
        <w:t> </w:t>
      </w:r>
      <w:r>
        <w:rPr>
          <w:color w:val="231F20"/>
          <w:sz w:val="15"/>
        </w:rPr>
        <w:t>C.,</w:t>
      </w:r>
      <w:r>
        <w:rPr>
          <w:color w:val="231F20"/>
          <w:spacing w:val="-9"/>
          <w:sz w:val="15"/>
        </w:rPr>
        <w:t> </w:t>
      </w:r>
      <w:r>
        <w:rPr>
          <w:color w:val="231F20"/>
          <w:sz w:val="15"/>
        </w:rPr>
        <w:t>Silver,</w:t>
      </w:r>
      <w:r>
        <w:rPr>
          <w:color w:val="231F20"/>
          <w:spacing w:val="-8"/>
          <w:sz w:val="15"/>
        </w:rPr>
        <w:t> </w:t>
      </w:r>
      <w:r>
        <w:rPr>
          <w:color w:val="231F20"/>
          <w:sz w:val="15"/>
        </w:rPr>
        <w:t>N.,</w:t>
      </w:r>
      <w:r>
        <w:rPr>
          <w:color w:val="231F20"/>
          <w:spacing w:val="-8"/>
          <w:sz w:val="15"/>
        </w:rPr>
        <w:t> </w:t>
      </w:r>
      <w:r>
        <w:rPr>
          <w:color w:val="231F20"/>
          <w:sz w:val="15"/>
        </w:rPr>
        <w:t>Magis,</w:t>
      </w:r>
      <w:r>
        <w:rPr>
          <w:color w:val="231F20"/>
          <w:spacing w:val="-8"/>
          <w:sz w:val="15"/>
        </w:rPr>
        <w:t> </w:t>
      </w:r>
      <w:r>
        <w:rPr>
          <w:color w:val="231F20"/>
          <w:sz w:val="15"/>
        </w:rPr>
        <w:t>D.,</w:t>
      </w:r>
      <w:r>
        <w:rPr>
          <w:color w:val="231F20"/>
          <w:spacing w:val="-9"/>
          <w:sz w:val="15"/>
        </w:rPr>
        <w:t> </w:t>
      </w:r>
      <w:r>
        <w:rPr>
          <w:color w:val="231F20"/>
          <w:sz w:val="15"/>
        </w:rPr>
        <w:t>Reuter,</w:t>
      </w:r>
      <w:r>
        <w:rPr>
          <w:color w:val="231F20"/>
          <w:spacing w:val="-8"/>
          <w:sz w:val="15"/>
        </w:rPr>
        <w:t> </w:t>
      </w:r>
      <w:r>
        <w:rPr>
          <w:color w:val="231F20"/>
          <w:sz w:val="15"/>
        </w:rPr>
        <w:t>U.,</w:t>
      </w:r>
      <w:r>
        <w:rPr>
          <w:color w:val="231F20"/>
          <w:spacing w:val="-8"/>
          <w:sz w:val="15"/>
        </w:rPr>
        <w:t> </w:t>
      </w:r>
      <w:r>
        <w:rPr>
          <w:color w:val="231F20"/>
          <w:sz w:val="15"/>
        </w:rPr>
        <w:t>Andersson,</w:t>
      </w:r>
      <w:r>
        <w:rPr>
          <w:color w:val="231F20"/>
          <w:spacing w:val="-8"/>
          <w:sz w:val="15"/>
        </w:rPr>
        <w:t> </w:t>
      </w:r>
      <w:r>
        <w:rPr>
          <w:color w:val="231F20"/>
          <w:sz w:val="15"/>
        </w:rPr>
        <w:t>A.,</w:t>
      </w:r>
      <w:r>
        <w:rPr>
          <w:color w:val="231F20"/>
          <w:spacing w:val="-8"/>
          <w:sz w:val="15"/>
        </w:rPr>
        <w:t> </w:t>
      </w:r>
      <w:r>
        <w:rPr>
          <w:color w:val="231F20"/>
          <w:sz w:val="15"/>
        </w:rPr>
        <w:t>et</w:t>
      </w:r>
      <w:r>
        <w:rPr>
          <w:color w:val="231F20"/>
          <w:spacing w:val="-9"/>
          <w:sz w:val="15"/>
        </w:rPr>
        <w:t> </w:t>
      </w:r>
      <w:r>
        <w:rPr>
          <w:color w:val="231F20"/>
          <w:sz w:val="15"/>
        </w:rPr>
        <w:t>al.</w:t>
      </w:r>
      <w:r>
        <w:rPr>
          <w:color w:val="231F20"/>
          <w:spacing w:val="-8"/>
          <w:sz w:val="15"/>
        </w:rPr>
        <w:t> </w:t>
      </w:r>
      <w:r>
        <w:rPr>
          <w:color w:val="231F20"/>
          <w:sz w:val="15"/>
        </w:rPr>
        <w:t>(2016). Non-invasive vagus nerve stimulation for PREVention and Acute treatment </w:t>
      </w:r>
      <w:r>
        <w:rPr>
          <w:color w:val="231F20"/>
          <w:spacing w:val="-6"/>
          <w:sz w:val="15"/>
        </w:rPr>
        <w:t>of </w:t>
      </w:r>
      <w:r>
        <w:rPr>
          <w:color w:val="231F20"/>
          <w:sz w:val="15"/>
        </w:rPr>
        <w:t>chronic cluster headache </w:t>
      </w:r>
      <w:r>
        <w:rPr>
          <w:color w:val="231F20"/>
          <w:spacing w:val="-3"/>
          <w:sz w:val="15"/>
        </w:rPr>
        <w:t>(PREVA): </w:t>
      </w:r>
      <w:r>
        <w:rPr>
          <w:color w:val="231F20"/>
          <w:sz w:val="15"/>
        </w:rPr>
        <w:t>a randomised controlled study. </w:t>
      </w:r>
      <w:r>
        <w:rPr>
          <w:i/>
          <w:color w:val="231F20"/>
          <w:spacing w:val="-3"/>
          <w:sz w:val="15"/>
        </w:rPr>
        <w:t>Cephalalgia</w:t>
      </w:r>
      <w:bookmarkStart w:name="_bookmark36" w:id="54"/>
      <w:bookmarkEnd w:id="54"/>
      <w:r>
        <w:rPr>
          <w:i/>
          <w:color w:val="231F20"/>
          <w:spacing w:val="-3"/>
          <w:sz w:val="15"/>
        </w:rPr>
      </w:r>
      <w:r>
        <w:rPr>
          <w:i/>
          <w:color w:val="231F20"/>
          <w:spacing w:val="-3"/>
          <w:sz w:val="15"/>
        </w:rPr>
        <w:t> </w:t>
      </w:r>
      <w:hyperlink r:id="rId72">
        <w:r>
          <w:rPr>
            <w:color w:val="231F20"/>
            <w:sz w:val="15"/>
          </w:rPr>
          <w:t>36, 534–546. doi: 10.1177/0333102415607070</w:t>
        </w:r>
      </w:hyperlink>
    </w:p>
    <w:p>
      <w:pPr>
        <w:spacing w:line="223" w:lineRule="auto" w:before="3"/>
        <w:ind w:left="358" w:right="0" w:hanging="200"/>
        <w:jc w:val="both"/>
        <w:rPr>
          <w:sz w:val="15"/>
        </w:rPr>
      </w:pPr>
      <w:r>
        <w:rPr>
          <w:color w:val="231F20"/>
          <w:sz w:val="15"/>
        </w:rPr>
        <w:t>Grant, P. F., and Lowery, M. M. (2012). Simulation of cortico-basal ganglia oscillations and their suppression by closed loop deep brain stimulation. </w:t>
      </w:r>
      <w:r>
        <w:rPr>
          <w:i/>
          <w:color w:val="231F20"/>
          <w:sz w:val="15"/>
        </w:rPr>
        <w:t>IEEE </w:t>
      </w:r>
      <w:r>
        <w:rPr>
          <w:i/>
          <w:color w:val="231F20"/>
          <w:sz w:val="15"/>
        </w:rPr>
        <w:t>Trans. Neural. Syst. Rehabil. Eng. </w:t>
      </w:r>
      <w:r>
        <w:rPr>
          <w:color w:val="231F20"/>
          <w:sz w:val="15"/>
        </w:rPr>
        <w:t>21, 584–594. </w:t>
      </w:r>
      <w:hyperlink r:id="rId73">
        <w:r>
          <w:rPr>
            <w:color w:val="231F20"/>
            <w:sz w:val="15"/>
          </w:rPr>
          <w:t>doi: 10.1109/TNSRE.2012.</w:t>
        </w:r>
      </w:hyperlink>
      <w:bookmarkStart w:name="_bookmark37" w:id="55"/>
      <w:bookmarkEnd w:id="55"/>
      <w:r>
        <w:rPr>
          <w:color w:val="231F20"/>
          <w:sz w:val="15"/>
        </w:rPr>
      </w:r>
      <w:r>
        <w:rPr>
          <w:color w:val="231F20"/>
          <w:sz w:val="15"/>
        </w:rPr>
        <w:t> </w:t>
      </w:r>
      <w:hyperlink r:id="rId73">
        <w:r>
          <w:rPr>
            <w:color w:val="231F20"/>
            <w:sz w:val="15"/>
          </w:rPr>
          <w:t>2202403</w:t>
        </w:r>
      </w:hyperlink>
    </w:p>
    <w:p>
      <w:pPr>
        <w:spacing w:line="223" w:lineRule="auto" w:before="0"/>
        <w:ind w:left="358" w:right="0" w:hanging="200"/>
        <w:jc w:val="both"/>
        <w:rPr>
          <w:sz w:val="15"/>
        </w:rPr>
      </w:pPr>
      <w:r>
        <w:rPr>
          <w:color w:val="231F20"/>
          <w:sz w:val="15"/>
        </w:rPr>
        <w:t>Groves, D. A., and Brown, V. J. (2005). </w:t>
      </w:r>
      <w:r>
        <w:rPr>
          <w:color w:val="231F20"/>
          <w:spacing w:val="-4"/>
          <w:sz w:val="15"/>
        </w:rPr>
        <w:t>Vagal </w:t>
      </w:r>
      <w:r>
        <w:rPr>
          <w:color w:val="231F20"/>
          <w:sz w:val="15"/>
        </w:rPr>
        <w:t>nerve stimulation: a review of its applications</w:t>
      </w:r>
      <w:r>
        <w:rPr>
          <w:color w:val="231F20"/>
          <w:spacing w:val="-10"/>
          <w:sz w:val="15"/>
        </w:rPr>
        <w:t> </w:t>
      </w:r>
      <w:r>
        <w:rPr>
          <w:color w:val="231F20"/>
          <w:sz w:val="15"/>
        </w:rPr>
        <w:t>and</w:t>
      </w:r>
      <w:r>
        <w:rPr>
          <w:color w:val="231F20"/>
          <w:spacing w:val="-9"/>
          <w:sz w:val="15"/>
        </w:rPr>
        <w:t> </w:t>
      </w:r>
      <w:r>
        <w:rPr>
          <w:color w:val="231F20"/>
          <w:sz w:val="15"/>
        </w:rPr>
        <w:t>potential</w:t>
      </w:r>
      <w:r>
        <w:rPr>
          <w:color w:val="231F20"/>
          <w:spacing w:val="-9"/>
          <w:sz w:val="15"/>
        </w:rPr>
        <w:t> </w:t>
      </w:r>
      <w:r>
        <w:rPr>
          <w:color w:val="231F20"/>
          <w:sz w:val="15"/>
        </w:rPr>
        <w:t>mechanisms</w:t>
      </w:r>
      <w:r>
        <w:rPr>
          <w:color w:val="231F20"/>
          <w:spacing w:val="-9"/>
          <w:sz w:val="15"/>
        </w:rPr>
        <w:t> </w:t>
      </w:r>
      <w:r>
        <w:rPr>
          <w:color w:val="231F20"/>
          <w:sz w:val="15"/>
        </w:rPr>
        <w:t>that</w:t>
      </w:r>
      <w:r>
        <w:rPr>
          <w:color w:val="231F20"/>
          <w:spacing w:val="-9"/>
          <w:sz w:val="15"/>
        </w:rPr>
        <w:t> </w:t>
      </w:r>
      <w:r>
        <w:rPr>
          <w:color w:val="231F20"/>
          <w:sz w:val="15"/>
        </w:rPr>
        <w:t>mediate</w:t>
      </w:r>
      <w:r>
        <w:rPr>
          <w:color w:val="231F20"/>
          <w:spacing w:val="-9"/>
          <w:sz w:val="15"/>
        </w:rPr>
        <w:t> </w:t>
      </w:r>
      <w:r>
        <w:rPr>
          <w:color w:val="231F20"/>
          <w:sz w:val="15"/>
        </w:rPr>
        <w:t>its</w:t>
      </w:r>
      <w:r>
        <w:rPr>
          <w:color w:val="231F20"/>
          <w:spacing w:val="-9"/>
          <w:sz w:val="15"/>
        </w:rPr>
        <w:t> </w:t>
      </w:r>
      <w:r>
        <w:rPr>
          <w:color w:val="231F20"/>
          <w:sz w:val="15"/>
        </w:rPr>
        <w:t>clinical</w:t>
      </w:r>
      <w:r>
        <w:rPr>
          <w:color w:val="231F20"/>
          <w:spacing w:val="-9"/>
          <w:sz w:val="15"/>
        </w:rPr>
        <w:t> </w:t>
      </w:r>
      <w:r>
        <w:rPr>
          <w:color w:val="231F20"/>
          <w:sz w:val="15"/>
        </w:rPr>
        <w:t>effects.</w:t>
      </w:r>
      <w:r>
        <w:rPr>
          <w:color w:val="231F20"/>
          <w:spacing w:val="-9"/>
          <w:sz w:val="15"/>
        </w:rPr>
        <w:t> </w:t>
      </w:r>
      <w:r>
        <w:rPr>
          <w:i/>
          <w:color w:val="231F20"/>
          <w:sz w:val="15"/>
        </w:rPr>
        <w:t>Neurosci.</w:t>
      </w:r>
      <w:bookmarkStart w:name="_bookmark38" w:id="56"/>
      <w:bookmarkEnd w:id="56"/>
      <w:r>
        <w:rPr>
          <w:i/>
          <w:color w:val="231F20"/>
          <w:sz w:val="15"/>
        </w:rPr>
      </w:r>
      <w:r>
        <w:rPr>
          <w:i/>
          <w:color w:val="231F20"/>
          <w:sz w:val="15"/>
        </w:rPr>
        <w:t> </w:t>
      </w:r>
      <w:r>
        <w:rPr>
          <w:i/>
          <w:color w:val="231F20"/>
          <w:sz w:val="15"/>
        </w:rPr>
        <w:t>Biobehav. Rev. </w:t>
      </w:r>
      <w:hyperlink r:id="rId74">
        <w:r>
          <w:rPr>
            <w:color w:val="231F20"/>
            <w:sz w:val="15"/>
          </w:rPr>
          <w:t>29, 493–500. doi:</w:t>
        </w:r>
        <w:r>
          <w:rPr>
            <w:color w:val="231F20"/>
            <w:spacing w:val="-3"/>
            <w:sz w:val="15"/>
          </w:rPr>
          <w:t> </w:t>
        </w:r>
        <w:r>
          <w:rPr>
            <w:color w:val="231F20"/>
            <w:sz w:val="15"/>
          </w:rPr>
          <w:t>10.1016/j.neubiorev.2005.01.004</w:t>
        </w:r>
      </w:hyperlink>
    </w:p>
    <w:p>
      <w:pPr>
        <w:spacing w:line="223" w:lineRule="auto" w:before="0"/>
        <w:ind w:left="358" w:right="0" w:hanging="200"/>
        <w:jc w:val="both"/>
        <w:rPr>
          <w:sz w:val="15"/>
        </w:rPr>
      </w:pPr>
      <w:r>
        <w:rPr>
          <w:color w:val="231F20"/>
          <w:sz w:val="15"/>
        </w:rPr>
        <w:t>Guiraud, D., Andreu, D., Bonnet, S., Carrault, G., Couderc, P., Hagege, A., et al. (2016). Vagus nerve stimulation: state of the art of stimulation and recording strategies to address autonomic function neuromodulation. </w:t>
      </w:r>
      <w:r>
        <w:rPr>
          <w:i/>
          <w:color w:val="231F20"/>
          <w:sz w:val="15"/>
        </w:rPr>
        <w:t>J. Neural. Eng. </w:t>
      </w:r>
      <w:r>
        <w:rPr>
          <w:color w:val="231F20"/>
          <w:sz w:val="15"/>
        </w:rPr>
        <w:t>13,</w:t>
      </w:r>
      <w:bookmarkStart w:name="_bookmark39" w:id="57"/>
      <w:bookmarkEnd w:id="57"/>
      <w:r>
        <w:rPr>
          <w:color w:val="231F20"/>
          <w:sz w:val="15"/>
        </w:rPr>
      </w:r>
      <w:r>
        <w:rPr>
          <w:color w:val="231F20"/>
          <w:sz w:val="15"/>
        </w:rPr>
        <w:t> </w:t>
      </w:r>
      <w:hyperlink r:id="rId75">
        <w:r>
          <w:rPr>
            <w:color w:val="231F20"/>
            <w:sz w:val="15"/>
          </w:rPr>
          <w:t>1–21. doi: 10.1088/1741-2560/13/4/041002</w:t>
        </w:r>
      </w:hyperlink>
    </w:p>
    <w:p>
      <w:pPr>
        <w:spacing w:line="187" w:lineRule="exact" w:before="0"/>
        <w:ind w:left="159" w:right="0" w:firstLine="0"/>
        <w:jc w:val="left"/>
        <w:rPr>
          <w:sz w:val="15"/>
        </w:rPr>
      </w:pPr>
      <w:r>
        <w:rPr>
          <w:color w:val="231F20"/>
          <w:sz w:val="15"/>
        </w:rPr>
        <w:t>Hays,</w:t>
      </w:r>
      <w:r>
        <w:rPr>
          <w:color w:val="231F20"/>
          <w:spacing w:val="-8"/>
          <w:sz w:val="15"/>
        </w:rPr>
        <w:t> </w:t>
      </w:r>
      <w:r>
        <w:rPr>
          <w:color w:val="231F20"/>
          <w:sz w:val="15"/>
        </w:rPr>
        <w:t>S.</w:t>
      </w:r>
      <w:r>
        <w:rPr>
          <w:color w:val="231F20"/>
          <w:spacing w:val="-8"/>
          <w:sz w:val="15"/>
        </w:rPr>
        <w:t> </w:t>
      </w:r>
      <w:r>
        <w:rPr>
          <w:color w:val="231F20"/>
          <w:sz w:val="15"/>
        </w:rPr>
        <w:t>A.</w:t>
      </w:r>
      <w:r>
        <w:rPr>
          <w:color w:val="231F20"/>
          <w:spacing w:val="-8"/>
          <w:sz w:val="15"/>
        </w:rPr>
        <w:t> </w:t>
      </w:r>
      <w:r>
        <w:rPr>
          <w:color w:val="231F20"/>
          <w:sz w:val="15"/>
        </w:rPr>
        <w:t>(2015).</w:t>
      </w:r>
      <w:r>
        <w:rPr>
          <w:color w:val="231F20"/>
          <w:spacing w:val="-8"/>
          <w:sz w:val="15"/>
        </w:rPr>
        <w:t> </w:t>
      </w:r>
      <w:r>
        <w:rPr>
          <w:color w:val="231F20"/>
          <w:sz w:val="15"/>
        </w:rPr>
        <w:t>Enhancing</w:t>
      </w:r>
      <w:r>
        <w:rPr>
          <w:color w:val="231F20"/>
          <w:spacing w:val="-7"/>
          <w:sz w:val="15"/>
        </w:rPr>
        <w:t> </w:t>
      </w:r>
      <w:r>
        <w:rPr>
          <w:color w:val="231F20"/>
          <w:sz w:val="15"/>
        </w:rPr>
        <w:t>rehabilitative</w:t>
      </w:r>
      <w:r>
        <w:rPr>
          <w:color w:val="231F20"/>
          <w:spacing w:val="-8"/>
          <w:sz w:val="15"/>
        </w:rPr>
        <w:t> </w:t>
      </w:r>
      <w:r>
        <w:rPr>
          <w:color w:val="231F20"/>
          <w:sz w:val="15"/>
        </w:rPr>
        <w:t>therapies</w:t>
      </w:r>
      <w:r>
        <w:rPr>
          <w:color w:val="231F20"/>
          <w:spacing w:val="-8"/>
          <w:sz w:val="15"/>
        </w:rPr>
        <w:t> </w:t>
      </w:r>
      <w:r>
        <w:rPr>
          <w:color w:val="231F20"/>
          <w:sz w:val="15"/>
        </w:rPr>
        <w:t>with</w:t>
      </w:r>
      <w:r>
        <w:rPr>
          <w:color w:val="231F20"/>
          <w:spacing w:val="-8"/>
          <w:sz w:val="15"/>
        </w:rPr>
        <w:t> </w:t>
      </w:r>
      <w:r>
        <w:rPr>
          <w:color w:val="231F20"/>
          <w:sz w:val="15"/>
        </w:rPr>
        <w:t>vagus</w:t>
      </w:r>
      <w:r>
        <w:rPr>
          <w:color w:val="231F20"/>
          <w:spacing w:val="-7"/>
          <w:sz w:val="15"/>
        </w:rPr>
        <w:t> </w:t>
      </w:r>
      <w:r>
        <w:rPr>
          <w:color w:val="231F20"/>
          <w:sz w:val="15"/>
        </w:rPr>
        <w:t>nerve</w:t>
      </w:r>
      <w:r>
        <w:rPr>
          <w:color w:val="231F20"/>
          <w:spacing w:val="-8"/>
          <w:sz w:val="15"/>
        </w:rPr>
        <w:t> </w:t>
      </w:r>
      <w:r>
        <w:rPr>
          <w:color w:val="231F20"/>
          <w:sz w:val="15"/>
        </w:rPr>
        <w:t>stimulation.</w:t>
      </w:r>
    </w:p>
    <w:p>
      <w:pPr>
        <w:spacing w:line="190" w:lineRule="exact" w:before="0"/>
        <w:ind w:left="358" w:right="0" w:firstLine="0"/>
        <w:jc w:val="left"/>
        <w:rPr>
          <w:sz w:val="15"/>
        </w:rPr>
      </w:pPr>
      <w:bookmarkStart w:name="_bookmark40" w:id="58"/>
      <w:bookmarkEnd w:id="58"/>
      <w:r>
        <w:rPr/>
      </w:r>
      <w:r>
        <w:rPr>
          <w:i/>
          <w:color w:val="231F20"/>
          <w:sz w:val="15"/>
        </w:rPr>
        <w:t>Neurotherapeutics </w:t>
      </w:r>
      <w:hyperlink r:id="rId76">
        <w:r>
          <w:rPr>
            <w:color w:val="231F20"/>
            <w:sz w:val="15"/>
          </w:rPr>
          <w:t>13, 382–394. doi: 10.1007/s13311-015-0417-z</w:t>
        </w:r>
      </w:hyperlink>
    </w:p>
    <w:p>
      <w:pPr>
        <w:spacing w:line="223" w:lineRule="auto" w:before="4"/>
        <w:ind w:left="358" w:right="0" w:hanging="200"/>
        <w:jc w:val="both"/>
        <w:rPr>
          <w:sz w:val="15"/>
        </w:rPr>
      </w:pPr>
      <w:r>
        <w:rPr>
          <w:color w:val="231F20"/>
          <w:sz w:val="15"/>
        </w:rPr>
        <w:t>He, W., Wang, X., Shi, H., Shang, H., Li, L., Jing, X., et al. (2012). Auricular acupuncture and vagal regulation. </w:t>
      </w:r>
      <w:r>
        <w:rPr>
          <w:i/>
          <w:color w:val="231F20"/>
          <w:sz w:val="15"/>
        </w:rPr>
        <w:t>Evid. Based Complement Alternat. Med.</w:t>
      </w:r>
      <w:bookmarkStart w:name="_bookmark41" w:id="59"/>
      <w:bookmarkEnd w:id="59"/>
      <w:r>
        <w:rPr>
          <w:i/>
          <w:color w:val="231F20"/>
          <w:sz w:val="15"/>
        </w:rPr>
      </w:r>
      <w:r>
        <w:rPr>
          <w:i/>
          <w:color w:val="231F20"/>
          <w:sz w:val="15"/>
        </w:rPr>
        <w:t> </w:t>
      </w:r>
      <w:hyperlink r:id="rId77">
        <w:r>
          <w:rPr>
            <w:color w:val="231F20"/>
            <w:sz w:val="15"/>
          </w:rPr>
          <w:t>2012:786839. doi: 10.1155/2012/786839</w:t>
        </w:r>
      </w:hyperlink>
    </w:p>
    <w:p>
      <w:pPr>
        <w:spacing w:line="225" w:lineRule="auto" w:before="0"/>
        <w:ind w:left="358" w:right="0" w:hanging="200"/>
        <w:jc w:val="both"/>
        <w:rPr>
          <w:sz w:val="15"/>
        </w:rPr>
      </w:pPr>
      <w:r>
        <w:rPr>
          <w:color w:val="231F20"/>
          <w:sz w:val="15"/>
        </w:rPr>
        <w:t>Howland, R. H. (2014). </w:t>
      </w:r>
      <w:r>
        <w:rPr>
          <w:color w:val="231F20"/>
          <w:spacing w:val="-4"/>
          <w:sz w:val="15"/>
        </w:rPr>
        <w:t>Vagus </w:t>
      </w:r>
      <w:r>
        <w:rPr>
          <w:color w:val="231F20"/>
          <w:sz w:val="15"/>
        </w:rPr>
        <w:t>nerve stimulation. </w:t>
      </w:r>
      <w:r>
        <w:rPr>
          <w:i/>
          <w:color w:val="231F20"/>
          <w:sz w:val="15"/>
        </w:rPr>
        <w:t>Curr. Behav. Neurosci. Rep. </w:t>
      </w:r>
      <w:r>
        <w:rPr>
          <w:color w:val="231F20"/>
          <w:spacing w:val="-6"/>
          <w:sz w:val="15"/>
        </w:rPr>
        <w:t>1,</w:t>
      </w:r>
      <w:bookmarkStart w:name="_bookmark42" w:id="60"/>
      <w:bookmarkEnd w:id="60"/>
      <w:r>
        <w:rPr>
          <w:color w:val="231F20"/>
          <w:spacing w:val="-6"/>
          <w:sz w:val="15"/>
        </w:rPr>
      </w:r>
      <w:r>
        <w:rPr>
          <w:color w:val="231F20"/>
          <w:spacing w:val="-6"/>
          <w:sz w:val="15"/>
        </w:rPr>
        <w:t> </w:t>
      </w:r>
      <w:hyperlink r:id="rId78">
        <w:r>
          <w:rPr>
            <w:color w:val="231F20"/>
            <w:sz w:val="15"/>
          </w:rPr>
          <w:t>64–73. doi: 10.1007/s40473-014-0010-5</w:t>
        </w:r>
      </w:hyperlink>
    </w:p>
    <w:p>
      <w:pPr>
        <w:spacing w:line="223" w:lineRule="auto" w:before="0"/>
        <w:ind w:left="159" w:right="0" w:firstLine="0"/>
        <w:jc w:val="right"/>
        <w:rPr>
          <w:sz w:val="15"/>
        </w:rPr>
      </w:pPr>
      <w:r>
        <w:rPr>
          <w:color w:val="231F20"/>
          <w:sz w:val="15"/>
        </w:rPr>
        <w:t>ICNIRP</w:t>
      </w:r>
      <w:r>
        <w:rPr>
          <w:color w:val="231F20"/>
          <w:spacing w:val="34"/>
          <w:sz w:val="15"/>
        </w:rPr>
        <w:t> </w:t>
      </w:r>
      <w:r>
        <w:rPr>
          <w:color w:val="231F20"/>
          <w:sz w:val="15"/>
        </w:rPr>
        <w:t>(1998).  Guidelines  for  limiting  exposure  to</w:t>
      </w:r>
      <w:r>
        <w:rPr>
          <w:color w:val="231F20"/>
          <w:spacing w:val="7"/>
          <w:sz w:val="15"/>
        </w:rPr>
        <w:t> </w:t>
      </w:r>
      <w:r>
        <w:rPr>
          <w:color w:val="231F20"/>
          <w:sz w:val="15"/>
        </w:rPr>
        <w:t>time-varying</w:t>
      </w:r>
      <w:r>
        <w:rPr>
          <w:color w:val="231F20"/>
          <w:spacing w:val="30"/>
          <w:sz w:val="15"/>
        </w:rPr>
        <w:t> </w:t>
      </w:r>
      <w:r>
        <w:rPr>
          <w:color w:val="231F20"/>
          <w:sz w:val="15"/>
        </w:rPr>
        <w:t>electric, magnetic,</w:t>
      </w:r>
      <w:r>
        <w:rPr>
          <w:color w:val="231F20"/>
          <w:spacing w:val="13"/>
          <w:sz w:val="15"/>
        </w:rPr>
        <w:t> </w:t>
      </w:r>
      <w:r>
        <w:rPr>
          <w:color w:val="231F20"/>
          <w:sz w:val="15"/>
        </w:rPr>
        <w:t>and</w:t>
      </w:r>
      <w:r>
        <w:rPr>
          <w:color w:val="231F20"/>
          <w:spacing w:val="14"/>
          <w:sz w:val="15"/>
        </w:rPr>
        <w:t> </w:t>
      </w:r>
      <w:r>
        <w:rPr>
          <w:color w:val="231F20"/>
          <w:sz w:val="15"/>
        </w:rPr>
        <w:t>electromagnetic</w:t>
      </w:r>
      <w:r>
        <w:rPr>
          <w:color w:val="231F20"/>
          <w:spacing w:val="14"/>
          <w:sz w:val="15"/>
        </w:rPr>
        <w:t> </w:t>
      </w:r>
      <w:r>
        <w:rPr>
          <w:color w:val="231F20"/>
          <w:sz w:val="15"/>
        </w:rPr>
        <w:t>fields</w:t>
      </w:r>
      <w:r>
        <w:rPr>
          <w:color w:val="231F20"/>
          <w:spacing w:val="14"/>
          <w:sz w:val="15"/>
        </w:rPr>
        <w:t> </w:t>
      </w:r>
      <w:r>
        <w:rPr>
          <w:color w:val="231F20"/>
          <w:sz w:val="15"/>
        </w:rPr>
        <w:t>(up</w:t>
      </w:r>
      <w:r>
        <w:rPr>
          <w:color w:val="231F20"/>
          <w:spacing w:val="14"/>
          <w:sz w:val="15"/>
        </w:rPr>
        <w:t> </w:t>
      </w:r>
      <w:r>
        <w:rPr>
          <w:color w:val="231F20"/>
          <w:sz w:val="15"/>
        </w:rPr>
        <w:t>to</w:t>
      </w:r>
      <w:r>
        <w:rPr>
          <w:color w:val="231F20"/>
          <w:spacing w:val="13"/>
          <w:sz w:val="15"/>
        </w:rPr>
        <w:t> </w:t>
      </w:r>
      <w:r>
        <w:rPr>
          <w:color w:val="231F20"/>
          <w:sz w:val="15"/>
        </w:rPr>
        <w:t>300</w:t>
      </w:r>
      <w:r>
        <w:rPr>
          <w:color w:val="231F20"/>
          <w:spacing w:val="14"/>
          <w:sz w:val="15"/>
        </w:rPr>
        <w:t> </w:t>
      </w:r>
      <w:r>
        <w:rPr>
          <w:color w:val="231F20"/>
          <w:sz w:val="15"/>
        </w:rPr>
        <w:t>GHz).</w:t>
      </w:r>
      <w:r>
        <w:rPr>
          <w:color w:val="231F20"/>
          <w:spacing w:val="14"/>
          <w:sz w:val="15"/>
        </w:rPr>
        <w:t> </w:t>
      </w:r>
      <w:r>
        <w:rPr>
          <w:color w:val="231F20"/>
          <w:sz w:val="15"/>
        </w:rPr>
        <w:t>International </w:t>
      </w:r>
      <w:bookmarkStart w:name="_bookmark43" w:id="61"/>
      <w:bookmarkEnd w:id="61"/>
      <w:r>
        <w:rPr>
          <w:color w:val="231F20"/>
          <w:sz w:val="15"/>
        </w:rPr>
      </w:r>
      <w:r>
        <w:rPr>
          <w:color w:val="231F20"/>
          <w:sz w:val="15"/>
        </w:rPr>
        <w:t>Commission on Non-Ionizing Radiation Protection. </w:t>
      </w:r>
      <w:r>
        <w:rPr>
          <w:i/>
          <w:color w:val="231F20"/>
          <w:sz w:val="15"/>
        </w:rPr>
        <w:t>Health Phys.</w:t>
      </w:r>
      <w:r>
        <w:rPr>
          <w:i/>
          <w:color w:val="231F20"/>
          <w:spacing w:val="-25"/>
          <w:sz w:val="15"/>
        </w:rPr>
        <w:t> </w:t>
      </w:r>
      <w:r>
        <w:rPr>
          <w:color w:val="231F20"/>
          <w:sz w:val="15"/>
        </w:rPr>
        <w:t>74,</w:t>
      </w:r>
      <w:r>
        <w:rPr>
          <w:color w:val="231F20"/>
          <w:spacing w:val="-3"/>
          <w:sz w:val="15"/>
        </w:rPr>
        <w:t> </w:t>
      </w:r>
      <w:r>
        <w:rPr>
          <w:color w:val="231F20"/>
          <w:sz w:val="15"/>
        </w:rPr>
        <w:t>494–522. Jodoin,</w:t>
      </w:r>
      <w:r>
        <w:rPr>
          <w:color w:val="231F20"/>
          <w:spacing w:val="-6"/>
          <w:sz w:val="15"/>
        </w:rPr>
        <w:t> </w:t>
      </w:r>
      <w:r>
        <w:rPr>
          <w:color w:val="231F20"/>
          <w:sz w:val="15"/>
        </w:rPr>
        <w:t>V.</w:t>
      </w:r>
      <w:r>
        <w:rPr>
          <w:color w:val="231F20"/>
          <w:spacing w:val="-5"/>
          <w:sz w:val="15"/>
        </w:rPr>
        <w:t> </w:t>
      </w:r>
      <w:r>
        <w:rPr>
          <w:color w:val="231F20"/>
          <w:sz w:val="15"/>
        </w:rPr>
        <w:t>D.,</w:t>
      </w:r>
      <w:r>
        <w:rPr>
          <w:color w:val="231F20"/>
          <w:spacing w:val="-5"/>
          <w:sz w:val="15"/>
        </w:rPr>
        <w:t> </w:t>
      </w:r>
      <w:r>
        <w:rPr>
          <w:color w:val="231F20"/>
          <w:sz w:val="15"/>
        </w:rPr>
        <w:t>Lespérance,</w:t>
      </w:r>
      <w:r>
        <w:rPr>
          <w:color w:val="231F20"/>
          <w:spacing w:val="-5"/>
          <w:sz w:val="15"/>
        </w:rPr>
        <w:t> </w:t>
      </w:r>
      <w:r>
        <w:rPr>
          <w:color w:val="231F20"/>
          <w:sz w:val="15"/>
        </w:rPr>
        <w:t>P.,</w:t>
      </w:r>
      <w:r>
        <w:rPr>
          <w:color w:val="231F20"/>
          <w:spacing w:val="-5"/>
          <w:sz w:val="15"/>
        </w:rPr>
        <w:t> </w:t>
      </w:r>
      <w:r>
        <w:rPr>
          <w:color w:val="231F20"/>
          <w:sz w:val="15"/>
        </w:rPr>
        <w:t>Nguyen,</w:t>
      </w:r>
      <w:r>
        <w:rPr>
          <w:color w:val="231F20"/>
          <w:spacing w:val="-5"/>
          <w:sz w:val="15"/>
        </w:rPr>
        <w:t> </w:t>
      </w:r>
      <w:r>
        <w:rPr>
          <w:color w:val="231F20"/>
          <w:sz w:val="15"/>
        </w:rPr>
        <w:t>D.</w:t>
      </w:r>
      <w:r>
        <w:rPr>
          <w:color w:val="231F20"/>
          <w:spacing w:val="-5"/>
          <w:sz w:val="15"/>
        </w:rPr>
        <w:t> </w:t>
      </w:r>
      <w:r>
        <w:rPr>
          <w:color w:val="231F20"/>
          <w:sz w:val="15"/>
        </w:rPr>
        <w:t>K.,</w:t>
      </w:r>
      <w:r>
        <w:rPr>
          <w:color w:val="231F20"/>
          <w:spacing w:val="-5"/>
          <w:sz w:val="15"/>
        </w:rPr>
        <w:t> </w:t>
      </w:r>
      <w:r>
        <w:rPr>
          <w:color w:val="231F20"/>
          <w:sz w:val="15"/>
        </w:rPr>
        <w:t>Fournier-Gosselin,</w:t>
      </w:r>
      <w:r>
        <w:rPr>
          <w:color w:val="231F20"/>
          <w:spacing w:val="-5"/>
          <w:sz w:val="15"/>
        </w:rPr>
        <w:t> </w:t>
      </w:r>
      <w:r>
        <w:rPr>
          <w:color w:val="231F20"/>
          <w:sz w:val="15"/>
        </w:rPr>
        <w:t>M.-P.,</w:t>
      </w:r>
      <w:r>
        <w:rPr>
          <w:color w:val="231F20"/>
          <w:spacing w:val="-5"/>
          <w:sz w:val="15"/>
        </w:rPr>
        <w:t> </w:t>
      </w:r>
      <w:r>
        <w:rPr>
          <w:color w:val="231F20"/>
          <w:sz w:val="15"/>
        </w:rPr>
        <w:t>and</w:t>
      </w:r>
      <w:r>
        <w:rPr>
          <w:color w:val="231F20"/>
          <w:spacing w:val="-5"/>
          <w:sz w:val="15"/>
        </w:rPr>
        <w:t> </w:t>
      </w:r>
      <w:r>
        <w:rPr>
          <w:color w:val="231F20"/>
          <w:sz w:val="15"/>
        </w:rPr>
        <w:t>Richer,</w:t>
      </w:r>
    </w:p>
    <w:p>
      <w:pPr>
        <w:spacing w:line="223" w:lineRule="auto" w:before="0"/>
        <w:ind w:left="358" w:right="0" w:firstLine="0"/>
        <w:jc w:val="left"/>
        <w:rPr>
          <w:sz w:val="15"/>
        </w:rPr>
      </w:pPr>
      <w:r>
        <w:rPr>
          <w:color w:val="231F20"/>
          <w:sz w:val="15"/>
        </w:rPr>
        <w:t>F. (2015). Effects of vagus nerve stimulation on pupillary function. </w:t>
      </w:r>
      <w:r>
        <w:rPr>
          <w:i/>
          <w:color w:val="231F20"/>
          <w:sz w:val="15"/>
        </w:rPr>
        <w:t>Int. J.</w:t>
      </w:r>
      <w:bookmarkStart w:name="_bookmark44" w:id="62"/>
      <w:bookmarkEnd w:id="62"/>
      <w:r>
        <w:rPr>
          <w:i/>
          <w:color w:val="231F20"/>
          <w:sz w:val="15"/>
        </w:rPr>
      </w:r>
      <w:r>
        <w:rPr>
          <w:i/>
          <w:color w:val="231F20"/>
          <w:sz w:val="15"/>
        </w:rPr>
        <w:t> </w:t>
      </w:r>
      <w:r>
        <w:rPr>
          <w:i/>
          <w:color w:val="231F20"/>
          <w:sz w:val="15"/>
        </w:rPr>
        <w:t>Psychophysiol. </w:t>
      </w:r>
      <w:hyperlink r:id="rId79">
        <w:r>
          <w:rPr>
            <w:color w:val="231F20"/>
            <w:sz w:val="15"/>
          </w:rPr>
          <w:t>98, 455–459. doi: 10.1016/j.ijpsycho.2015.10.001</w:t>
        </w:r>
      </w:hyperlink>
    </w:p>
    <w:p>
      <w:pPr>
        <w:spacing w:line="223" w:lineRule="auto" w:before="0"/>
        <w:ind w:left="358" w:right="0" w:hanging="200"/>
        <w:jc w:val="both"/>
        <w:rPr>
          <w:sz w:val="15"/>
        </w:rPr>
      </w:pPr>
      <w:r>
        <w:rPr>
          <w:color w:val="231F20"/>
          <w:sz w:val="15"/>
        </w:rPr>
        <w:t>Kampusch, S., Kaniusas, E., and Szeles, C. (2013). “New approaches in multi- punctual</w:t>
      </w:r>
      <w:r>
        <w:rPr>
          <w:color w:val="231F20"/>
          <w:spacing w:val="-4"/>
          <w:sz w:val="15"/>
        </w:rPr>
        <w:t> </w:t>
      </w:r>
      <w:r>
        <w:rPr>
          <w:color w:val="231F20"/>
          <w:sz w:val="15"/>
        </w:rPr>
        <w:t>percutaneous</w:t>
      </w:r>
      <w:r>
        <w:rPr>
          <w:color w:val="231F20"/>
          <w:spacing w:val="-3"/>
          <w:sz w:val="15"/>
        </w:rPr>
        <w:t> </w:t>
      </w:r>
      <w:r>
        <w:rPr>
          <w:color w:val="231F20"/>
          <w:sz w:val="15"/>
        </w:rPr>
        <w:t>stimulation</w:t>
      </w:r>
      <w:r>
        <w:rPr>
          <w:color w:val="231F20"/>
          <w:spacing w:val="-3"/>
          <w:sz w:val="15"/>
        </w:rPr>
        <w:t> </w:t>
      </w:r>
      <w:r>
        <w:rPr>
          <w:color w:val="231F20"/>
          <w:sz w:val="15"/>
        </w:rPr>
        <w:t>of</w:t>
      </w:r>
      <w:r>
        <w:rPr>
          <w:color w:val="231F20"/>
          <w:spacing w:val="-4"/>
          <w:sz w:val="15"/>
        </w:rPr>
        <w:t> </w:t>
      </w:r>
      <w:r>
        <w:rPr>
          <w:color w:val="231F20"/>
          <w:sz w:val="15"/>
        </w:rPr>
        <w:t>the</w:t>
      </w:r>
      <w:r>
        <w:rPr>
          <w:color w:val="231F20"/>
          <w:spacing w:val="-3"/>
          <w:sz w:val="15"/>
        </w:rPr>
        <w:t> </w:t>
      </w:r>
      <w:r>
        <w:rPr>
          <w:color w:val="231F20"/>
          <w:sz w:val="15"/>
        </w:rPr>
        <w:t>auricular</w:t>
      </w:r>
      <w:r>
        <w:rPr>
          <w:color w:val="231F20"/>
          <w:spacing w:val="-3"/>
          <w:sz w:val="15"/>
        </w:rPr>
        <w:t> </w:t>
      </w:r>
      <w:r>
        <w:rPr>
          <w:color w:val="231F20"/>
          <w:sz w:val="15"/>
        </w:rPr>
        <w:t>vagus</w:t>
      </w:r>
      <w:r>
        <w:rPr>
          <w:color w:val="231F20"/>
          <w:spacing w:val="-4"/>
          <w:sz w:val="15"/>
        </w:rPr>
        <w:t> </w:t>
      </w:r>
      <w:r>
        <w:rPr>
          <w:color w:val="231F20"/>
          <w:spacing w:val="-3"/>
          <w:sz w:val="15"/>
        </w:rPr>
        <w:t>nerve,” </w:t>
      </w:r>
      <w:r>
        <w:rPr>
          <w:color w:val="231F20"/>
          <w:sz w:val="15"/>
        </w:rPr>
        <w:t>in</w:t>
      </w:r>
      <w:r>
        <w:rPr>
          <w:color w:val="231F20"/>
          <w:spacing w:val="-3"/>
          <w:sz w:val="15"/>
        </w:rPr>
        <w:t> </w:t>
      </w:r>
      <w:r>
        <w:rPr>
          <w:i/>
          <w:color w:val="231F20"/>
          <w:sz w:val="15"/>
        </w:rPr>
        <w:t>Proceedings </w:t>
      </w:r>
      <w:r>
        <w:rPr>
          <w:i/>
          <w:color w:val="231F20"/>
          <w:sz w:val="15"/>
        </w:rPr>
        <w:t>of the 6th International IEEE/EMBS Conference on Neural Engineering </w:t>
      </w:r>
      <w:r>
        <w:rPr>
          <w:i/>
          <w:color w:val="231F20"/>
          <w:spacing w:val="-3"/>
          <w:sz w:val="15"/>
        </w:rPr>
        <w:t>(NER)</w:t>
      </w:r>
      <w:bookmarkStart w:name="_bookmark45" w:id="63"/>
      <w:bookmarkEnd w:id="63"/>
      <w:r>
        <w:rPr>
          <w:i/>
          <w:color w:val="231F20"/>
          <w:spacing w:val="-3"/>
          <w:sz w:val="15"/>
        </w:rPr>
      </w:r>
      <w:r>
        <w:rPr>
          <w:i/>
          <w:color w:val="231F20"/>
          <w:spacing w:val="-3"/>
          <w:sz w:val="15"/>
        </w:rPr>
        <w:t> </w:t>
      </w:r>
      <w:r>
        <w:rPr>
          <w:i/>
          <w:color w:val="231F20"/>
          <w:sz w:val="15"/>
        </w:rPr>
        <w:t>2013</w:t>
      </w:r>
      <w:hyperlink r:id="rId80">
        <w:r>
          <w:rPr>
            <w:color w:val="231F20"/>
            <w:sz w:val="15"/>
          </w:rPr>
          <w:t>, (San Diego, CA: IEEE), 263–266. doi: 10.1109/ner.2013.6695922</w:t>
        </w:r>
      </w:hyperlink>
    </w:p>
    <w:p>
      <w:pPr>
        <w:spacing w:line="223" w:lineRule="auto" w:before="0"/>
        <w:ind w:left="358" w:right="0" w:hanging="200"/>
        <w:jc w:val="both"/>
        <w:rPr>
          <w:sz w:val="15"/>
        </w:rPr>
      </w:pPr>
      <w:r>
        <w:rPr>
          <w:color w:val="231F20"/>
          <w:sz w:val="15"/>
        </w:rPr>
        <w:t>Kampusch, S., Kaniusas, E., Thürk, F., Felten, D., Hofmann, I., and Szeles, C. (2016). Device development guided by user satisfaction survey on auricular vagus nerve stimulation. </w:t>
      </w:r>
      <w:r>
        <w:rPr>
          <w:i/>
          <w:color w:val="231F20"/>
          <w:sz w:val="15"/>
        </w:rPr>
        <w:t>Curr. Dir. Biomed. Eng. </w:t>
      </w:r>
      <w:r>
        <w:rPr>
          <w:color w:val="231F20"/>
          <w:sz w:val="15"/>
        </w:rPr>
        <w:t>2, 593–597. </w:t>
      </w:r>
      <w:hyperlink r:id="rId81">
        <w:r>
          <w:rPr>
            <w:color w:val="231F20"/>
            <w:sz w:val="15"/>
          </w:rPr>
          <w:t>doi: 10.1515/</w:t>
        </w:r>
      </w:hyperlink>
      <w:bookmarkStart w:name="_bookmark46" w:id="64"/>
      <w:bookmarkEnd w:id="64"/>
      <w:r>
        <w:rPr>
          <w:color w:val="231F20"/>
          <w:sz w:val="15"/>
        </w:rPr>
      </w:r>
      <w:r>
        <w:rPr>
          <w:color w:val="231F20"/>
          <w:sz w:val="15"/>
        </w:rPr>
        <w:t> </w:t>
      </w:r>
      <w:hyperlink r:id="rId81">
        <w:r>
          <w:rPr>
            <w:color w:val="231F20"/>
            <w:sz w:val="15"/>
          </w:rPr>
          <w:t>cdbme-2016-0131</w:t>
        </w:r>
      </w:hyperlink>
    </w:p>
    <w:p>
      <w:pPr>
        <w:spacing w:line="225" w:lineRule="auto" w:before="0"/>
        <w:ind w:left="358" w:right="0" w:hanging="200"/>
        <w:jc w:val="both"/>
        <w:rPr>
          <w:sz w:val="15"/>
        </w:rPr>
      </w:pPr>
      <w:r>
        <w:rPr>
          <w:color w:val="231F20"/>
          <w:sz w:val="15"/>
        </w:rPr>
        <w:t>Kandel,</w:t>
      </w:r>
      <w:r>
        <w:rPr>
          <w:color w:val="231F20"/>
          <w:spacing w:val="-4"/>
          <w:sz w:val="15"/>
        </w:rPr>
        <w:t> </w:t>
      </w:r>
      <w:r>
        <w:rPr>
          <w:color w:val="231F20"/>
          <w:sz w:val="15"/>
        </w:rPr>
        <w:t>E.</w:t>
      </w:r>
      <w:r>
        <w:rPr>
          <w:color w:val="231F20"/>
          <w:spacing w:val="-4"/>
          <w:sz w:val="15"/>
        </w:rPr>
        <w:t> </w:t>
      </w:r>
      <w:r>
        <w:rPr>
          <w:color w:val="231F20"/>
          <w:sz w:val="15"/>
        </w:rPr>
        <w:t>R.,</w:t>
      </w:r>
      <w:r>
        <w:rPr>
          <w:color w:val="231F20"/>
          <w:spacing w:val="-3"/>
          <w:sz w:val="15"/>
        </w:rPr>
        <w:t> </w:t>
      </w:r>
      <w:r>
        <w:rPr>
          <w:color w:val="231F20"/>
          <w:sz w:val="15"/>
        </w:rPr>
        <w:t>Schwartz,</w:t>
      </w:r>
      <w:r>
        <w:rPr>
          <w:color w:val="231F20"/>
          <w:spacing w:val="-4"/>
          <w:sz w:val="15"/>
        </w:rPr>
        <w:t> </w:t>
      </w:r>
      <w:r>
        <w:rPr>
          <w:color w:val="231F20"/>
          <w:sz w:val="15"/>
        </w:rPr>
        <w:t>J.</w:t>
      </w:r>
      <w:r>
        <w:rPr>
          <w:color w:val="231F20"/>
          <w:spacing w:val="-4"/>
          <w:sz w:val="15"/>
        </w:rPr>
        <w:t> </w:t>
      </w:r>
      <w:r>
        <w:rPr>
          <w:color w:val="231F20"/>
          <w:sz w:val="15"/>
        </w:rPr>
        <w:t>H.,</w:t>
      </w:r>
      <w:r>
        <w:rPr>
          <w:color w:val="231F20"/>
          <w:spacing w:val="-3"/>
          <w:sz w:val="15"/>
        </w:rPr>
        <w:t> </w:t>
      </w:r>
      <w:r>
        <w:rPr>
          <w:color w:val="231F20"/>
          <w:sz w:val="15"/>
        </w:rPr>
        <w:t>and</w:t>
      </w:r>
      <w:r>
        <w:rPr>
          <w:color w:val="231F20"/>
          <w:spacing w:val="-4"/>
          <w:sz w:val="15"/>
        </w:rPr>
        <w:t> </w:t>
      </w:r>
      <w:r>
        <w:rPr>
          <w:color w:val="231F20"/>
          <w:sz w:val="15"/>
        </w:rPr>
        <w:t>Jessell,</w:t>
      </w:r>
      <w:r>
        <w:rPr>
          <w:color w:val="231F20"/>
          <w:spacing w:val="-3"/>
          <w:sz w:val="15"/>
        </w:rPr>
        <w:t> </w:t>
      </w:r>
      <w:r>
        <w:rPr>
          <w:color w:val="231F20"/>
          <w:sz w:val="15"/>
        </w:rPr>
        <w:t>T.</w:t>
      </w:r>
      <w:r>
        <w:rPr>
          <w:color w:val="231F20"/>
          <w:spacing w:val="-4"/>
          <w:sz w:val="15"/>
        </w:rPr>
        <w:t> </w:t>
      </w:r>
      <w:r>
        <w:rPr>
          <w:color w:val="231F20"/>
          <w:sz w:val="15"/>
        </w:rPr>
        <w:t>M.</w:t>
      </w:r>
      <w:r>
        <w:rPr>
          <w:color w:val="231F20"/>
          <w:spacing w:val="-4"/>
          <w:sz w:val="15"/>
        </w:rPr>
        <w:t> </w:t>
      </w:r>
      <w:r>
        <w:rPr>
          <w:color w:val="231F20"/>
          <w:sz w:val="15"/>
        </w:rPr>
        <w:t>(2000).</w:t>
      </w:r>
      <w:r>
        <w:rPr>
          <w:color w:val="231F20"/>
          <w:spacing w:val="-3"/>
          <w:sz w:val="15"/>
        </w:rPr>
        <w:t> </w:t>
      </w:r>
      <w:r>
        <w:rPr>
          <w:i/>
          <w:color w:val="231F20"/>
          <w:sz w:val="15"/>
        </w:rPr>
        <w:t>Principles</w:t>
      </w:r>
      <w:r>
        <w:rPr>
          <w:i/>
          <w:color w:val="231F20"/>
          <w:spacing w:val="-4"/>
          <w:sz w:val="15"/>
        </w:rPr>
        <w:t> </w:t>
      </w:r>
      <w:r>
        <w:rPr>
          <w:i/>
          <w:color w:val="231F20"/>
          <w:sz w:val="15"/>
        </w:rPr>
        <w:t>of</w:t>
      </w:r>
      <w:r>
        <w:rPr>
          <w:i/>
          <w:color w:val="231F20"/>
          <w:spacing w:val="-4"/>
          <w:sz w:val="15"/>
        </w:rPr>
        <w:t> </w:t>
      </w:r>
      <w:r>
        <w:rPr>
          <w:i/>
          <w:color w:val="231F20"/>
          <w:sz w:val="15"/>
        </w:rPr>
        <w:t>Neural</w:t>
      </w:r>
      <w:r>
        <w:rPr>
          <w:i/>
          <w:color w:val="231F20"/>
          <w:spacing w:val="-3"/>
          <w:sz w:val="15"/>
        </w:rPr>
        <w:t> </w:t>
      </w:r>
      <w:r>
        <w:rPr>
          <w:i/>
          <w:color w:val="231F20"/>
          <w:sz w:val="15"/>
        </w:rPr>
        <w:t>Science</w:t>
      </w:r>
      <w:r>
        <w:rPr>
          <w:color w:val="231F20"/>
          <w:sz w:val="15"/>
        </w:rPr>
        <w:t>.</w:t>
      </w:r>
      <w:bookmarkStart w:name="_bookmark47" w:id="65"/>
      <w:bookmarkEnd w:id="65"/>
      <w:r>
        <w:rPr>
          <w:color w:val="231F20"/>
          <w:sz w:val="15"/>
        </w:rPr>
      </w:r>
      <w:r>
        <w:rPr>
          <w:color w:val="231F20"/>
          <w:sz w:val="15"/>
        </w:rPr>
        <w:t> New York, </w:t>
      </w:r>
      <w:r>
        <w:rPr>
          <w:color w:val="231F20"/>
          <w:spacing w:val="-5"/>
          <w:sz w:val="15"/>
        </w:rPr>
        <w:t>NY:</w:t>
      </w:r>
      <w:r>
        <w:rPr>
          <w:color w:val="231F20"/>
          <w:spacing w:val="-1"/>
          <w:sz w:val="15"/>
        </w:rPr>
        <w:t> </w:t>
      </w:r>
      <w:r>
        <w:rPr>
          <w:color w:val="231F20"/>
          <w:sz w:val="15"/>
        </w:rPr>
        <w:t>McGraw-Hill.</w:t>
      </w:r>
    </w:p>
    <w:p>
      <w:pPr>
        <w:spacing w:line="223" w:lineRule="auto" w:before="0"/>
        <w:ind w:left="358" w:right="0" w:hanging="200"/>
        <w:jc w:val="both"/>
        <w:rPr>
          <w:sz w:val="15"/>
        </w:rPr>
      </w:pPr>
      <w:r>
        <w:rPr>
          <w:color w:val="231F20"/>
          <w:sz w:val="15"/>
        </w:rPr>
        <w:t>Kaniusas, E. (2012). </w:t>
      </w:r>
      <w:r>
        <w:rPr>
          <w:i/>
          <w:color w:val="231F20"/>
          <w:sz w:val="15"/>
        </w:rPr>
        <w:t>Biomedical Signals and Sensors I: Linking Physiological </w:t>
      </w:r>
      <w:r>
        <w:rPr>
          <w:i/>
          <w:color w:val="231F20"/>
          <w:sz w:val="15"/>
        </w:rPr>
        <w:t>Phenomena and Biosignals</w:t>
      </w:r>
      <w:r>
        <w:rPr>
          <w:color w:val="231F20"/>
          <w:sz w:val="15"/>
        </w:rPr>
        <w:t>. Berlin: Springer Publisher, </w:t>
      </w:r>
      <w:hyperlink r:id="rId82">
        <w:r>
          <w:rPr>
            <w:color w:val="231F20"/>
            <w:sz w:val="15"/>
          </w:rPr>
          <w:t>doi: 10.1007/978-3-642-</w:t>
        </w:r>
      </w:hyperlink>
      <w:bookmarkStart w:name="_bookmark48" w:id="66"/>
      <w:bookmarkEnd w:id="66"/>
      <w:r>
        <w:rPr>
          <w:color w:val="231F20"/>
          <w:sz w:val="15"/>
        </w:rPr>
      </w:r>
      <w:r>
        <w:rPr>
          <w:color w:val="231F20"/>
          <w:sz w:val="15"/>
        </w:rPr>
        <w:t> </w:t>
      </w:r>
      <w:hyperlink r:id="rId82">
        <w:r>
          <w:rPr>
            <w:color w:val="231F20"/>
            <w:sz w:val="15"/>
          </w:rPr>
          <w:t>24843-6</w:t>
        </w:r>
      </w:hyperlink>
    </w:p>
    <w:p>
      <w:pPr>
        <w:spacing w:line="223" w:lineRule="auto" w:before="0"/>
        <w:ind w:left="358" w:right="0" w:hanging="200"/>
        <w:jc w:val="both"/>
        <w:rPr>
          <w:sz w:val="15"/>
        </w:rPr>
      </w:pPr>
      <w:r>
        <w:rPr>
          <w:color w:val="231F20"/>
          <w:sz w:val="15"/>
        </w:rPr>
        <w:t>Kaniusas, E. (2019). </w:t>
      </w:r>
      <w:r>
        <w:rPr>
          <w:i/>
          <w:color w:val="231F20"/>
          <w:sz w:val="15"/>
        </w:rPr>
        <w:t>Biomedical Signals and Sensors III: Linking Electric Biosignals</w:t>
      </w:r>
      <w:bookmarkStart w:name="_bookmark49" w:id="67"/>
      <w:bookmarkEnd w:id="67"/>
      <w:r>
        <w:rPr>
          <w:i/>
          <w:color w:val="231F20"/>
          <w:sz w:val="15"/>
        </w:rPr>
      </w:r>
      <w:r>
        <w:rPr>
          <w:i/>
          <w:color w:val="231F20"/>
          <w:sz w:val="15"/>
        </w:rPr>
        <w:t> </w:t>
      </w:r>
      <w:r>
        <w:rPr>
          <w:i/>
          <w:color w:val="231F20"/>
          <w:sz w:val="15"/>
        </w:rPr>
        <w:t>and Biomedical Sensors</w:t>
      </w:r>
      <w:r>
        <w:rPr>
          <w:color w:val="231F20"/>
          <w:sz w:val="15"/>
        </w:rPr>
        <w:t>. Berlin: Springer Publisher.</w:t>
      </w:r>
    </w:p>
    <w:p>
      <w:pPr>
        <w:spacing w:line="223" w:lineRule="auto" w:before="0"/>
        <w:ind w:left="358" w:right="0" w:hanging="200"/>
        <w:jc w:val="both"/>
        <w:rPr>
          <w:i/>
          <w:sz w:val="15"/>
        </w:rPr>
      </w:pPr>
      <w:r>
        <w:rPr>
          <w:color w:val="231F20"/>
          <w:sz w:val="15"/>
        </w:rPr>
        <w:t>Kaniusas, E., Kampusch, S., Tittgemeyer, M., Panetsos, F., Gines, R. F., Papa, M.,</w:t>
      </w:r>
      <w:r>
        <w:rPr>
          <w:color w:val="231F20"/>
          <w:spacing w:val="34"/>
          <w:sz w:val="15"/>
        </w:rPr>
        <w:t> </w:t>
      </w:r>
      <w:r>
        <w:rPr>
          <w:color w:val="231F20"/>
          <w:sz w:val="15"/>
        </w:rPr>
        <w:t>et al. (2019). Current directions in the auricular vagus nerve stimulation I - </w:t>
      </w:r>
      <w:r>
        <w:rPr>
          <w:color w:val="231F20"/>
          <w:spacing w:val="-13"/>
          <w:sz w:val="15"/>
        </w:rPr>
        <w:t>a</w:t>
      </w:r>
      <w:bookmarkStart w:name="_bookmark50" w:id="68"/>
      <w:bookmarkEnd w:id="68"/>
      <w:r>
        <w:rPr>
          <w:color w:val="231F20"/>
          <w:spacing w:val="-13"/>
          <w:sz w:val="15"/>
        </w:rPr>
      </w:r>
      <w:r>
        <w:rPr>
          <w:color w:val="231F20"/>
          <w:spacing w:val="-13"/>
          <w:sz w:val="15"/>
        </w:rPr>
        <w:t> </w:t>
      </w:r>
      <w:r>
        <w:rPr>
          <w:color w:val="231F20"/>
          <w:sz w:val="15"/>
        </w:rPr>
        <w:t>physiological perspective. </w:t>
      </w:r>
      <w:r>
        <w:rPr>
          <w:i/>
          <w:color w:val="231F20"/>
          <w:sz w:val="15"/>
        </w:rPr>
        <w:t>Front.</w:t>
      </w:r>
      <w:r>
        <w:rPr>
          <w:i/>
          <w:color w:val="231F20"/>
          <w:spacing w:val="-2"/>
          <w:sz w:val="15"/>
        </w:rPr>
        <w:t> </w:t>
      </w:r>
      <w:r>
        <w:rPr>
          <w:i/>
          <w:color w:val="231F20"/>
          <w:sz w:val="15"/>
        </w:rPr>
        <w:t>Neurosci.</w:t>
      </w:r>
    </w:p>
    <w:p>
      <w:pPr>
        <w:spacing w:line="223" w:lineRule="auto" w:before="0"/>
        <w:ind w:left="358" w:right="0" w:hanging="200"/>
        <w:jc w:val="both"/>
        <w:rPr>
          <w:sz w:val="15"/>
        </w:rPr>
      </w:pPr>
      <w:r>
        <w:rPr>
          <w:color w:val="231F20"/>
          <w:sz w:val="15"/>
        </w:rPr>
        <w:t>Kaniusas, E., Szeles, C., Materna, T., and Varoneckas, G. (2009). “Adaptive auricular electrical stimulation controlled by vital biosignals,” in </w:t>
      </w:r>
      <w:r>
        <w:rPr>
          <w:i/>
          <w:color w:val="231F20"/>
          <w:spacing w:val="-3"/>
          <w:sz w:val="15"/>
        </w:rPr>
        <w:t>Proceedings   </w:t>
      </w:r>
      <w:r>
        <w:rPr>
          <w:i/>
          <w:color w:val="231F20"/>
          <w:sz w:val="15"/>
        </w:rPr>
        <w:t>of the 2nd International Conference on Biomedical Electronics and Devices (BIODEVICES)</w:t>
      </w:r>
      <w:hyperlink r:id="rId83">
        <w:r>
          <w:rPr>
            <w:color w:val="231F20"/>
            <w:sz w:val="15"/>
          </w:rPr>
          <w:t>, Porto, 304–309. doi:</w:t>
        </w:r>
        <w:r>
          <w:rPr>
            <w:color w:val="231F20"/>
            <w:spacing w:val="-1"/>
            <w:sz w:val="15"/>
          </w:rPr>
          <w:t> </w:t>
        </w:r>
        <w:r>
          <w:rPr>
            <w:color w:val="231F20"/>
            <w:sz w:val="15"/>
          </w:rPr>
          <w:t>10.5220/0001779703040309</w:t>
        </w:r>
      </w:hyperlink>
    </w:p>
    <w:p>
      <w:pPr>
        <w:spacing w:line="223" w:lineRule="auto" w:before="100"/>
        <w:ind w:left="358" w:right="155" w:hanging="200"/>
        <w:jc w:val="both"/>
        <w:rPr>
          <w:sz w:val="15"/>
        </w:rPr>
      </w:pPr>
      <w:r>
        <w:rPr/>
        <w:br w:type="column"/>
      </w:r>
      <w:bookmarkStart w:name="_bookmark51" w:id="69"/>
      <w:bookmarkEnd w:id="69"/>
      <w:r>
        <w:rPr/>
      </w:r>
      <w:r>
        <w:rPr>
          <w:color w:val="231F20"/>
          <w:sz w:val="15"/>
        </w:rPr>
        <w:t>Kaniusas, E., Varoneckas, G., </w:t>
      </w:r>
      <w:r>
        <w:rPr>
          <w:color w:val="231F20"/>
          <w:spacing w:val="-3"/>
          <w:sz w:val="15"/>
        </w:rPr>
        <w:t>Mahr, </w:t>
      </w:r>
      <w:r>
        <w:rPr>
          <w:color w:val="231F20"/>
          <w:sz w:val="15"/>
        </w:rPr>
        <w:t>B., and Szeles, C. (2011). Optic visualization</w:t>
      </w:r>
      <w:r>
        <w:rPr>
          <w:color w:val="231F20"/>
          <w:spacing w:val="34"/>
          <w:sz w:val="15"/>
        </w:rPr>
        <w:t> </w:t>
      </w:r>
      <w:r>
        <w:rPr>
          <w:color w:val="231F20"/>
          <w:sz w:val="15"/>
        </w:rPr>
        <w:t>of auricular nerves and blood vessels: optimisation and validation. </w:t>
      </w:r>
      <w:r>
        <w:rPr>
          <w:i/>
          <w:color w:val="231F20"/>
          <w:sz w:val="15"/>
        </w:rPr>
        <w:t>IEEE Trans.</w:t>
      </w:r>
      <w:bookmarkStart w:name="_bookmark52" w:id="70"/>
      <w:bookmarkEnd w:id="70"/>
      <w:r>
        <w:rPr>
          <w:i/>
          <w:color w:val="231F20"/>
          <w:sz w:val="15"/>
        </w:rPr>
      </w:r>
      <w:r>
        <w:rPr>
          <w:i/>
          <w:color w:val="231F20"/>
          <w:sz w:val="15"/>
        </w:rPr>
        <w:t> </w:t>
      </w:r>
      <w:r>
        <w:rPr>
          <w:i/>
          <w:color w:val="231F20"/>
          <w:sz w:val="15"/>
        </w:rPr>
        <w:t>Instrum. Meas. </w:t>
      </w:r>
      <w:hyperlink r:id="rId84">
        <w:r>
          <w:rPr>
            <w:color w:val="231F20"/>
            <w:sz w:val="15"/>
          </w:rPr>
          <w:t>60, 3253–3258. doi:</w:t>
        </w:r>
        <w:r>
          <w:rPr>
            <w:color w:val="231F20"/>
            <w:spacing w:val="-2"/>
            <w:sz w:val="15"/>
          </w:rPr>
          <w:t> </w:t>
        </w:r>
        <w:r>
          <w:rPr>
            <w:color w:val="231F20"/>
            <w:sz w:val="15"/>
          </w:rPr>
          <w:t>10.1109/tim.2011.2159314</w:t>
        </w:r>
      </w:hyperlink>
    </w:p>
    <w:p>
      <w:pPr>
        <w:spacing w:line="184" w:lineRule="exact" w:before="0"/>
        <w:ind w:left="159" w:right="0" w:firstLine="0"/>
        <w:jc w:val="left"/>
        <w:rPr>
          <w:sz w:val="15"/>
        </w:rPr>
      </w:pPr>
      <w:r>
        <w:rPr>
          <w:color w:val="231F20"/>
          <w:sz w:val="15"/>
        </w:rPr>
        <w:t>Karemaker, J. M. (2017). An introduction into autonomic nervous function.</w:t>
      </w:r>
    </w:p>
    <w:p>
      <w:pPr>
        <w:spacing w:line="189" w:lineRule="exact" w:before="0"/>
        <w:ind w:left="358" w:right="0" w:firstLine="0"/>
        <w:jc w:val="left"/>
        <w:rPr>
          <w:sz w:val="15"/>
        </w:rPr>
      </w:pPr>
      <w:bookmarkStart w:name="_bookmark53" w:id="71"/>
      <w:bookmarkEnd w:id="71"/>
      <w:r>
        <w:rPr/>
      </w:r>
      <w:r>
        <w:rPr>
          <w:i/>
          <w:color w:val="231F20"/>
          <w:sz w:val="15"/>
        </w:rPr>
        <w:t>Physiol. Meas. </w:t>
      </w:r>
      <w:hyperlink r:id="rId85">
        <w:r>
          <w:rPr>
            <w:color w:val="231F20"/>
            <w:sz w:val="15"/>
          </w:rPr>
          <w:t>38, R89–R118. doi: 10.1088/1361-6579/aa6782</w:t>
        </w:r>
      </w:hyperlink>
    </w:p>
    <w:p>
      <w:pPr>
        <w:spacing w:line="223" w:lineRule="auto" w:before="3"/>
        <w:ind w:left="358" w:right="155" w:hanging="200"/>
        <w:jc w:val="both"/>
        <w:rPr>
          <w:sz w:val="15"/>
        </w:rPr>
      </w:pPr>
      <w:r>
        <w:rPr>
          <w:color w:val="231F20"/>
          <w:sz w:val="15"/>
        </w:rPr>
        <w:t>Kothe, A. R. (2009). </w:t>
      </w:r>
      <w:r>
        <w:rPr>
          <w:i/>
          <w:color w:val="231F20"/>
          <w:sz w:val="15"/>
        </w:rPr>
        <w:t>Transcutaneous Vagus Nerve Stimulation - Change of </w:t>
      </w:r>
      <w:r>
        <w:rPr>
          <w:i/>
          <w:color w:val="231F20"/>
          <w:sz w:val="15"/>
        </w:rPr>
        <w:t>psychometric parameters as a function of different stimulation regions</w:t>
      </w:r>
      <w:r>
        <w:rPr>
          <w:color w:val="231F20"/>
          <w:sz w:val="15"/>
        </w:rPr>
        <w:t>. Ph.D.</w:t>
      </w:r>
      <w:bookmarkStart w:name="_bookmark54" w:id="72"/>
      <w:bookmarkEnd w:id="72"/>
      <w:r>
        <w:rPr>
          <w:color w:val="231F20"/>
          <w:sz w:val="15"/>
        </w:rPr>
      </w:r>
      <w:r>
        <w:rPr>
          <w:color w:val="231F20"/>
          <w:sz w:val="15"/>
        </w:rPr>
        <w:t> thesis, Friedrich-Alexander-University, Erlangen.</w:t>
      </w:r>
    </w:p>
    <w:p>
      <w:pPr>
        <w:spacing w:line="223" w:lineRule="auto" w:before="1"/>
        <w:ind w:left="358" w:right="155" w:hanging="200"/>
        <w:jc w:val="both"/>
        <w:rPr>
          <w:sz w:val="15"/>
        </w:rPr>
      </w:pPr>
      <w:r>
        <w:rPr>
          <w:color w:val="231F20"/>
          <w:sz w:val="15"/>
        </w:rPr>
        <w:t>Kovacic, K., Hainsworth, K., Sood, M., Chelimsky, G., Unteutsch, R., Nugent, </w:t>
      </w:r>
      <w:r>
        <w:rPr>
          <w:color w:val="231F20"/>
          <w:spacing w:val="34"/>
          <w:sz w:val="15"/>
        </w:rPr>
        <w:t> </w:t>
      </w:r>
      <w:r>
        <w:rPr>
          <w:color w:val="231F20"/>
          <w:sz w:val="15"/>
        </w:rPr>
        <w:t>M., et al. (2017). Neurostimulation for abdominal pain-related functional gastrointestinal disorders in adolescents: a randomised, double-blind, sham- controlled trial. </w:t>
      </w:r>
      <w:r>
        <w:rPr>
          <w:i/>
          <w:color w:val="231F20"/>
          <w:sz w:val="15"/>
        </w:rPr>
        <w:t>Lancet Gastroenterol. Hepatol. </w:t>
      </w:r>
      <w:r>
        <w:rPr>
          <w:color w:val="231F20"/>
          <w:sz w:val="15"/>
        </w:rPr>
        <w:t>2, 727–737. </w:t>
      </w:r>
      <w:hyperlink r:id="rId86">
        <w:r>
          <w:rPr>
            <w:color w:val="231F20"/>
            <w:sz w:val="15"/>
          </w:rPr>
          <w:t>doi: 10.1016/S2468-</w:t>
        </w:r>
      </w:hyperlink>
      <w:bookmarkStart w:name="_bookmark55" w:id="73"/>
      <w:bookmarkEnd w:id="73"/>
      <w:r>
        <w:rPr>
          <w:color w:val="231F20"/>
          <w:sz w:val="15"/>
        </w:rPr>
      </w:r>
      <w:r>
        <w:rPr>
          <w:color w:val="231F20"/>
          <w:sz w:val="15"/>
        </w:rPr>
        <w:t> </w:t>
      </w:r>
      <w:hyperlink r:id="rId86">
        <w:r>
          <w:rPr>
            <w:color w:val="231F20"/>
            <w:sz w:val="15"/>
          </w:rPr>
          <w:t>1253(17)30253-4</w:t>
        </w:r>
      </w:hyperlink>
    </w:p>
    <w:p>
      <w:pPr>
        <w:spacing w:line="223" w:lineRule="auto" w:before="4"/>
        <w:ind w:left="358" w:right="155" w:hanging="200"/>
        <w:jc w:val="both"/>
        <w:rPr>
          <w:sz w:val="15"/>
        </w:rPr>
      </w:pPr>
      <w:r>
        <w:rPr>
          <w:color w:val="231F20"/>
          <w:sz w:val="15"/>
        </w:rPr>
        <w:t>Kreuzer,</w:t>
      </w:r>
      <w:r>
        <w:rPr>
          <w:color w:val="231F20"/>
          <w:spacing w:val="-5"/>
          <w:sz w:val="15"/>
        </w:rPr>
        <w:t> </w:t>
      </w:r>
      <w:r>
        <w:rPr>
          <w:color w:val="231F20"/>
          <w:sz w:val="15"/>
        </w:rPr>
        <w:t>P.</w:t>
      </w:r>
      <w:r>
        <w:rPr>
          <w:color w:val="231F20"/>
          <w:spacing w:val="-5"/>
          <w:sz w:val="15"/>
        </w:rPr>
        <w:t> </w:t>
      </w:r>
      <w:r>
        <w:rPr>
          <w:color w:val="231F20"/>
          <w:sz w:val="15"/>
        </w:rPr>
        <w:t>M.,</w:t>
      </w:r>
      <w:r>
        <w:rPr>
          <w:color w:val="231F20"/>
          <w:spacing w:val="-5"/>
          <w:sz w:val="15"/>
        </w:rPr>
        <w:t> </w:t>
      </w:r>
      <w:r>
        <w:rPr>
          <w:color w:val="231F20"/>
          <w:sz w:val="15"/>
        </w:rPr>
        <w:t>Landgrebe,</w:t>
      </w:r>
      <w:r>
        <w:rPr>
          <w:color w:val="231F20"/>
          <w:spacing w:val="-5"/>
          <w:sz w:val="15"/>
        </w:rPr>
        <w:t> </w:t>
      </w:r>
      <w:r>
        <w:rPr>
          <w:color w:val="231F20"/>
          <w:sz w:val="15"/>
        </w:rPr>
        <w:t>M.,</w:t>
      </w:r>
      <w:r>
        <w:rPr>
          <w:color w:val="231F20"/>
          <w:spacing w:val="-4"/>
          <w:sz w:val="15"/>
        </w:rPr>
        <w:t> </w:t>
      </w:r>
      <w:r>
        <w:rPr>
          <w:color w:val="231F20"/>
          <w:sz w:val="15"/>
        </w:rPr>
        <w:t>Husser,</w:t>
      </w:r>
      <w:r>
        <w:rPr>
          <w:color w:val="231F20"/>
          <w:spacing w:val="-5"/>
          <w:sz w:val="15"/>
        </w:rPr>
        <w:t> </w:t>
      </w:r>
      <w:r>
        <w:rPr>
          <w:color w:val="231F20"/>
          <w:sz w:val="15"/>
        </w:rPr>
        <w:t>O.,</w:t>
      </w:r>
      <w:r>
        <w:rPr>
          <w:color w:val="231F20"/>
          <w:spacing w:val="-5"/>
          <w:sz w:val="15"/>
        </w:rPr>
        <w:t> </w:t>
      </w:r>
      <w:r>
        <w:rPr>
          <w:color w:val="231F20"/>
          <w:sz w:val="15"/>
        </w:rPr>
        <w:t>Resch,</w:t>
      </w:r>
      <w:r>
        <w:rPr>
          <w:color w:val="231F20"/>
          <w:spacing w:val="-5"/>
          <w:sz w:val="15"/>
        </w:rPr>
        <w:t> </w:t>
      </w:r>
      <w:r>
        <w:rPr>
          <w:color w:val="231F20"/>
          <w:sz w:val="15"/>
        </w:rPr>
        <w:t>M.,</w:t>
      </w:r>
      <w:r>
        <w:rPr>
          <w:color w:val="231F20"/>
          <w:spacing w:val="-4"/>
          <w:sz w:val="15"/>
        </w:rPr>
        <w:t> </w:t>
      </w:r>
      <w:r>
        <w:rPr>
          <w:color w:val="231F20"/>
          <w:sz w:val="15"/>
        </w:rPr>
        <w:t>Schecklmann,</w:t>
      </w:r>
      <w:r>
        <w:rPr>
          <w:color w:val="231F20"/>
          <w:spacing w:val="-5"/>
          <w:sz w:val="15"/>
        </w:rPr>
        <w:t> </w:t>
      </w:r>
      <w:r>
        <w:rPr>
          <w:color w:val="231F20"/>
          <w:sz w:val="15"/>
        </w:rPr>
        <w:t>M.,</w:t>
      </w:r>
      <w:r>
        <w:rPr>
          <w:color w:val="231F20"/>
          <w:spacing w:val="-5"/>
          <w:sz w:val="15"/>
        </w:rPr>
        <w:t> </w:t>
      </w:r>
      <w:r>
        <w:rPr>
          <w:color w:val="231F20"/>
          <w:sz w:val="15"/>
        </w:rPr>
        <w:t>Geisreiter, F., et al. (2012). Transcutaneous vagus nerve stimulation: retrospective assessment</w:t>
      </w:r>
      <w:r>
        <w:rPr>
          <w:color w:val="231F20"/>
          <w:spacing w:val="-7"/>
          <w:sz w:val="15"/>
        </w:rPr>
        <w:t> </w:t>
      </w:r>
      <w:r>
        <w:rPr>
          <w:color w:val="231F20"/>
          <w:sz w:val="15"/>
        </w:rPr>
        <w:t>of</w:t>
      </w:r>
      <w:r>
        <w:rPr>
          <w:color w:val="231F20"/>
          <w:spacing w:val="-7"/>
          <w:sz w:val="15"/>
        </w:rPr>
        <w:t> </w:t>
      </w:r>
      <w:r>
        <w:rPr>
          <w:color w:val="231F20"/>
          <w:sz w:val="15"/>
        </w:rPr>
        <w:t>cardiac</w:t>
      </w:r>
      <w:r>
        <w:rPr>
          <w:color w:val="231F20"/>
          <w:spacing w:val="-6"/>
          <w:sz w:val="15"/>
        </w:rPr>
        <w:t> </w:t>
      </w:r>
      <w:r>
        <w:rPr>
          <w:color w:val="231F20"/>
          <w:sz w:val="15"/>
        </w:rPr>
        <w:t>safety</w:t>
      </w:r>
      <w:r>
        <w:rPr>
          <w:color w:val="231F20"/>
          <w:spacing w:val="-7"/>
          <w:sz w:val="15"/>
        </w:rPr>
        <w:t> </w:t>
      </w:r>
      <w:r>
        <w:rPr>
          <w:color w:val="231F20"/>
          <w:sz w:val="15"/>
        </w:rPr>
        <w:t>in</w:t>
      </w:r>
      <w:r>
        <w:rPr>
          <w:color w:val="231F20"/>
          <w:spacing w:val="-6"/>
          <w:sz w:val="15"/>
        </w:rPr>
        <w:t> </w:t>
      </w:r>
      <w:r>
        <w:rPr>
          <w:color w:val="231F20"/>
          <w:sz w:val="15"/>
        </w:rPr>
        <w:t>a</w:t>
      </w:r>
      <w:r>
        <w:rPr>
          <w:color w:val="231F20"/>
          <w:spacing w:val="-7"/>
          <w:sz w:val="15"/>
        </w:rPr>
        <w:t> </w:t>
      </w:r>
      <w:r>
        <w:rPr>
          <w:color w:val="231F20"/>
          <w:sz w:val="15"/>
        </w:rPr>
        <w:t>pilot</w:t>
      </w:r>
      <w:r>
        <w:rPr>
          <w:color w:val="231F20"/>
          <w:spacing w:val="-6"/>
          <w:sz w:val="15"/>
        </w:rPr>
        <w:t> </w:t>
      </w:r>
      <w:r>
        <w:rPr>
          <w:color w:val="231F20"/>
          <w:sz w:val="15"/>
        </w:rPr>
        <w:t>study.</w:t>
      </w:r>
      <w:r>
        <w:rPr>
          <w:color w:val="231F20"/>
          <w:spacing w:val="-7"/>
          <w:sz w:val="15"/>
        </w:rPr>
        <w:t> </w:t>
      </w:r>
      <w:r>
        <w:rPr>
          <w:i/>
          <w:color w:val="231F20"/>
          <w:sz w:val="15"/>
        </w:rPr>
        <w:t>Front.</w:t>
      </w:r>
      <w:r>
        <w:rPr>
          <w:i/>
          <w:color w:val="231F20"/>
          <w:spacing w:val="-6"/>
          <w:sz w:val="15"/>
        </w:rPr>
        <w:t> </w:t>
      </w:r>
      <w:r>
        <w:rPr>
          <w:i/>
          <w:color w:val="231F20"/>
          <w:sz w:val="15"/>
        </w:rPr>
        <w:t>Psychiatry</w:t>
      </w:r>
      <w:r>
        <w:rPr>
          <w:i/>
          <w:color w:val="231F20"/>
          <w:spacing w:val="-7"/>
          <w:sz w:val="15"/>
        </w:rPr>
        <w:t> </w:t>
      </w:r>
      <w:r>
        <w:rPr>
          <w:color w:val="231F20"/>
          <w:sz w:val="15"/>
        </w:rPr>
        <w:t>3:70.</w:t>
      </w:r>
      <w:r>
        <w:rPr>
          <w:color w:val="231F20"/>
          <w:spacing w:val="-6"/>
          <w:sz w:val="15"/>
        </w:rPr>
        <w:t> </w:t>
      </w:r>
      <w:hyperlink r:id="rId87">
        <w:r>
          <w:rPr>
            <w:color w:val="231F20"/>
            <w:sz w:val="15"/>
          </w:rPr>
          <w:t>doi:</w:t>
        </w:r>
        <w:r>
          <w:rPr>
            <w:color w:val="231F20"/>
            <w:spacing w:val="-7"/>
            <w:sz w:val="15"/>
          </w:rPr>
          <w:t> </w:t>
        </w:r>
        <w:r>
          <w:rPr>
            <w:color w:val="231F20"/>
            <w:sz w:val="15"/>
          </w:rPr>
          <w:t>10.3389/</w:t>
        </w:r>
      </w:hyperlink>
      <w:bookmarkStart w:name="_bookmark56" w:id="74"/>
      <w:bookmarkEnd w:id="74"/>
      <w:r>
        <w:rPr>
          <w:color w:val="231F20"/>
          <w:sz w:val="15"/>
        </w:rPr>
      </w:r>
      <w:r>
        <w:rPr>
          <w:color w:val="231F20"/>
          <w:sz w:val="15"/>
        </w:rPr>
        <w:t> </w:t>
      </w:r>
      <w:hyperlink r:id="rId87">
        <w:r>
          <w:rPr>
            <w:color w:val="231F20"/>
            <w:sz w:val="15"/>
          </w:rPr>
          <w:t>fpsyt.2012.00070</w:t>
        </w:r>
      </w:hyperlink>
    </w:p>
    <w:p>
      <w:pPr>
        <w:spacing w:line="223" w:lineRule="auto" w:before="3"/>
        <w:ind w:left="358" w:right="155" w:hanging="200"/>
        <w:jc w:val="both"/>
        <w:rPr>
          <w:sz w:val="15"/>
        </w:rPr>
      </w:pPr>
      <w:r>
        <w:rPr>
          <w:color w:val="231F20"/>
          <w:sz w:val="15"/>
        </w:rPr>
        <w:t>Kuhn, A., Keller, T., Lawrence, M., and Morari, M. (2008). A model for transcutaneous current stimulation: simulations and experiments. </w:t>
      </w:r>
      <w:r>
        <w:rPr>
          <w:i/>
          <w:color w:val="231F20"/>
          <w:sz w:val="15"/>
        </w:rPr>
        <w:t>Med. Biol.</w:t>
      </w:r>
      <w:bookmarkStart w:name="_bookmark57" w:id="75"/>
      <w:bookmarkEnd w:id="75"/>
      <w:r>
        <w:rPr>
          <w:i/>
          <w:color w:val="231F20"/>
          <w:sz w:val="15"/>
        </w:rPr>
      </w:r>
      <w:r>
        <w:rPr>
          <w:i/>
          <w:color w:val="231F20"/>
          <w:sz w:val="15"/>
        </w:rPr>
        <w:t> </w:t>
      </w:r>
      <w:r>
        <w:rPr>
          <w:i/>
          <w:color w:val="231F20"/>
          <w:sz w:val="15"/>
        </w:rPr>
        <w:t>Eng. Comput. </w:t>
      </w:r>
      <w:hyperlink r:id="rId88">
        <w:r>
          <w:rPr>
            <w:color w:val="231F20"/>
            <w:sz w:val="15"/>
          </w:rPr>
          <w:t>47, 279–289. doi: 10.1007/s11517-008-0422-z</w:t>
        </w:r>
      </w:hyperlink>
    </w:p>
    <w:p>
      <w:pPr>
        <w:spacing w:line="223" w:lineRule="auto" w:before="0"/>
        <w:ind w:left="358" w:right="155" w:hanging="200"/>
        <w:jc w:val="both"/>
        <w:rPr>
          <w:sz w:val="15"/>
        </w:rPr>
      </w:pPr>
      <w:r>
        <w:rPr>
          <w:color w:val="231F20"/>
          <w:sz w:val="15"/>
        </w:rPr>
        <w:t>Lehtimaki, J., Hyvarinen, P., Ylikoski, M., Bergholm, M., Makela, J. P., Aarnisalo,</w:t>
      </w:r>
      <w:r>
        <w:rPr>
          <w:color w:val="231F20"/>
          <w:spacing w:val="34"/>
          <w:sz w:val="15"/>
        </w:rPr>
        <w:t> </w:t>
      </w:r>
      <w:r>
        <w:rPr>
          <w:color w:val="231F20"/>
          <w:sz w:val="15"/>
        </w:rPr>
        <w:t>A., et al. (2012). Transcutaneous vagus  nerve  stimulation  in  tinnitus:  a </w:t>
      </w:r>
      <w:r>
        <w:rPr>
          <w:color w:val="231F20"/>
          <w:spacing w:val="34"/>
          <w:sz w:val="15"/>
        </w:rPr>
        <w:t> </w:t>
      </w:r>
      <w:r>
        <w:rPr>
          <w:color w:val="231F20"/>
          <w:sz w:val="15"/>
        </w:rPr>
        <w:t>pilot study. </w:t>
      </w:r>
      <w:r>
        <w:rPr>
          <w:i/>
          <w:color w:val="231F20"/>
          <w:sz w:val="15"/>
        </w:rPr>
        <w:t>Acta Otolaryngol. </w:t>
      </w:r>
      <w:r>
        <w:rPr>
          <w:color w:val="231F20"/>
          <w:sz w:val="15"/>
        </w:rPr>
        <w:t>133, 378–382. </w:t>
      </w:r>
      <w:hyperlink r:id="rId89">
        <w:r>
          <w:rPr>
            <w:color w:val="231F20"/>
            <w:sz w:val="15"/>
          </w:rPr>
          <w:t>doi: 10.3109/00016489.2012.</w:t>
        </w:r>
      </w:hyperlink>
      <w:bookmarkStart w:name="_bookmark58" w:id="76"/>
      <w:bookmarkEnd w:id="76"/>
      <w:r>
        <w:rPr>
          <w:color w:val="231F20"/>
          <w:sz w:val="15"/>
        </w:rPr>
      </w:r>
      <w:r>
        <w:rPr>
          <w:color w:val="231F20"/>
          <w:sz w:val="15"/>
        </w:rPr>
        <w:t> </w:t>
      </w:r>
      <w:hyperlink r:id="rId89">
        <w:r>
          <w:rPr>
            <w:color w:val="231F20"/>
            <w:sz w:val="15"/>
          </w:rPr>
          <w:t>750736</w:t>
        </w:r>
      </w:hyperlink>
    </w:p>
    <w:p>
      <w:pPr>
        <w:spacing w:line="223" w:lineRule="auto" w:before="2"/>
        <w:ind w:left="358" w:right="155" w:hanging="200"/>
        <w:jc w:val="both"/>
        <w:rPr>
          <w:sz w:val="15"/>
        </w:rPr>
      </w:pPr>
      <w:r>
        <w:rPr>
          <w:color w:val="231F20"/>
          <w:sz w:val="15"/>
        </w:rPr>
        <w:t>Liporace, J., Hucko, D., Morrow, R., Barolat, G., Nei, M., Schnur, J., et al. (2001). Vagal nerve stimulation: adjustments to reduce painful side effects. </w:t>
      </w:r>
      <w:r>
        <w:rPr>
          <w:i/>
          <w:color w:val="231F20"/>
          <w:sz w:val="15"/>
        </w:rPr>
        <w:t>Neurology</w:t>
      </w:r>
      <w:bookmarkStart w:name="_bookmark59" w:id="77"/>
      <w:bookmarkEnd w:id="77"/>
      <w:r>
        <w:rPr>
          <w:i/>
          <w:color w:val="231F20"/>
          <w:sz w:val="15"/>
        </w:rPr>
      </w:r>
      <w:r>
        <w:rPr>
          <w:i/>
          <w:color w:val="231F20"/>
          <w:sz w:val="15"/>
        </w:rPr>
        <w:t> </w:t>
      </w:r>
      <w:hyperlink r:id="rId90">
        <w:r>
          <w:rPr>
            <w:color w:val="231F20"/>
            <w:sz w:val="15"/>
          </w:rPr>
          <w:t>57, 885–886. doi: 10.1212/wnl.57.5.885</w:t>
        </w:r>
      </w:hyperlink>
    </w:p>
    <w:p>
      <w:pPr>
        <w:spacing w:line="223" w:lineRule="auto" w:before="2"/>
        <w:ind w:left="358" w:right="155" w:hanging="200"/>
        <w:jc w:val="both"/>
        <w:rPr>
          <w:sz w:val="15"/>
        </w:rPr>
      </w:pPr>
      <w:r>
        <w:rPr>
          <w:color w:val="231F20"/>
          <w:sz w:val="15"/>
        </w:rPr>
        <w:t>Liu, H., Yang, Z., Huang, L., Qu, W., Hao, H., and Li, L. (2017). Heart-rate variability indices as predictors of the response to vagus nerve stimulation in patients with drug-resistant epilepsy. </w:t>
      </w:r>
      <w:r>
        <w:rPr>
          <w:i/>
          <w:color w:val="231F20"/>
          <w:sz w:val="15"/>
        </w:rPr>
        <w:t>Epilepsia </w:t>
      </w:r>
      <w:r>
        <w:rPr>
          <w:color w:val="231F20"/>
          <w:sz w:val="15"/>
        </w:rPr>
        <w:t>58, 1015–1022. </w:t>
      </w:r>
      <w:hyperlink r:id="rId91">
        <w:r>
          <w:rPr>
            <w:color w:val="231F20"/>
            <w:sz w:val="15"/>
          </w:rPr>
          <w:t>doi: 10.1111/epi.</w:t>
        </w:r>
      </w:hyperlink>
      <w:bookmarkStart w:name="_bookmark60" w:id="78"/>
      <w:bookmarkEnd w:id="78"/>
      <w:r>
        <w:rPr>
          <w:color w:val="231F20"/>
          <w:sz w:val="15"/>
        </w:rPr>
      </w:r>
      <w:r>
        <w:rPr>
          <w:color w:val="231F20"/>
          <w:sz w:val="15"/>
        </w:rPr>
        <w:t> </w:t>
      </w:r>
      <w:hyperlink r:id="rId91">
        <w:r>
          <w:rPr>
            <w:color w:val="231F20"/>
            <w:sz w:val="15"/>
          </w:rPr>
          <w:t>13738</w:t>
        </w:r>
      </w:hyperlink>
    </w:p>
    <w:p>
      <w:pPr>
        <w:spacing w:line="223" w:lineRule="auto" w:before="2"/>
        <w:ind w:left="358" w:right="155" w:hanging="200"/>
        <w:jc w:val="both"/>
        <w:rPr>
          <w:sz w:val="15"/>
        </w:rPr>
      </w:pPr>
      <w:r>
        <w:rPr>
          <w:color w:val="231F20"/>
          <w:sz w:val="15"/>
        </w:rPr>
        <w:t>Mahadi,</w:t>
      </w:r>
      <w:r>
        <w:rPr>
          <w:color w:val="231F20"/>
          <w:spacing w:val="-5"/>
          <w:sz w:val="15"/>
        </w:rPr>
        <w:t> </w:t>
      </w:r>
      <w:r>
        <w:rPr>
          <w:color w:val="231F20"/>
          <w:sz w:val="15"/>
        </w:rPr>
        <w:t>K.</w:t>
      </w:r>
      <w:r>
        <w:rPr>
          <w:color w:val="231F20"/>
          <w:spacing w:val="-5"/>
          <w:sz w:val="15"/>
        </w:rPr>
        <w:t> </w:t>
      </w:r>
      <w:r>
        <w:rPr>
          <w:color w:val="231F20"/>
          <w:sz w:val="15"/>
        </w:rPr>
        <w:t>M.,</w:t>
      </w:r>
      <w:r>
        <w:rPr>
          <w:color w:val="231F20"/>
          <w:spacing w:val="-5"/>
          <w:sz w:val="15"/>
        </w:rPr>
        <w:t> </w:t>
      </w:r>
      <w:r>
        <w:rPr>
          <w:color w:val="231F20"/>
          <w:sz w:val="15"/>
        </w:rPr>
        <w:t>Lall,</w:t>
      </w:r>
      <w:r>
        <w:rPr>
          <w:color w:val="231F20"/>
          <w:spacing w:val="-4"/>
          <w:sz w:val="15"/>
        </w:rPr>
        <w:t> </w:t>
      </w:r>
      <w:r>
        <w:rPr>
          <w:color w:val="231F20"/>
          <w:sz w:val="15"/>
        </w:rPr>
        <w:t>V.</w:t>
      </w:r>
      <w:r>
        <w:rPr>
          <w:color w:val="231F20"/>
          <w:spacing w:val="-5"/>
          <w:sz w:val="15"/>
        </w:rPr>
        <w:t> </w:t>
      </w:r>
      <w:r>
        <w:rPr>
          <w:color w:val="231F20"/>
          <w:sz w:val="15"/>
        </w:rPr>
        <w:t>K.,</w:t>
      </w:r>
      <w:r>
        <w:rPr>
          <w:color w:val="231F20"/>
          <w:spacing w:val="-5"/>
          <w:sz w:val="15"/>
        </w:rPr>
        <w:t> </w:t>
      </w:r>
      <w:r>
        <w:rPr>
          <w:color w:val="231F20"/>
          <w:sz w:val="15"/>
        </w:rPr>
        <w:t>Deuchars,</w:t>
      </w:r>
      <w:r>
        <w:rPr>
          <w:color w:val="231F20"/>
          <w:spacing w:val="-5"/>
          <w:sz w:val="15"/>
        </w:rPr>
        <w:t> </w:t>
      </w:r>
      <w:r>
        <w:rPr>
          <w:color w:val="231F20"/>
          <w:sz w:val="15"/>
        </w:rPr>
        <w:t>S.</w:t>
      </w:r>
      <w:r>
        <w:rPr>
          <w:color w:val="231F20"/>
          <w:spacing w:val="-4"/>
          <w:sz w:val="15"/>
        </w:rPr>
        <w:t> </w:t>
      </w:r>
      <w:r>
        <w:rPr>
          <w:color w:val="231F20"/>
          <w:sz w:val="15"/>
        </w:rPr>
        <w:t>A.,</w:t>
      </w:r>
      <w:r>
        <w:rPr>
          <w:color w:val="231F20"/>
          <w:spacing w:val="-5"/>
          <w:sz w:val="15"/>
        </w:rPr>
        <w:t> </w:t>
      </w:r>
      <w:r>
        <w:rPr>
          <w:color w:val="231F20"/>
          <w:sz w:val="15"/>
        </w:rPr>
        <w:t>and</w:t>
      </w:r>
      <w:r>
        <w:rPr>
          <w:color w:val="231F20"/>
          <w:spacing w:val="-5"/>
          <w:sz w:val="15"/>
        </w:rPr>
        <w:t> </w:t>
      </w:r>
      <w:r>
        <w:rPr>
          <w:color w:val="231F20"/>
          <w:sz w:val="15"/>
        </w:rPr>
        <w:t>Deuchars,</w:t>
      </w:r>
      <w:r>
        <w:rPr>
          <w:color w:val="231F20"/>
          <w:spacing w:val="-4"/>
          <w:sz w:val="15"/>
        </w:rPr>
        <w:t> </w:t>
      </w:r>
      <w:r>
        <w:rPr>
          <w:color w:val="231F20"/>
          <w:sz w:val="15"/>
        </w:rPr>
        <w:t>J.</w:t>
      </w:r>
      <w:r>
        <w:rPr>
          <w:color w:val="231F20"/>
          <w:spacing w:val="-5"/>
          <w:sz w:val="15"/>
        </w:rPr>
        <w:t> </w:t>
      </w:r>
      <w:r>
        <w:rPr>
          <w:color w:val="231F20"/>
          <w:sz w:val="15"/>
        </w:rPr>
        <w:t>(2019).</w:t>
      </w:r>
      <w:r>
        <w:rPr>
          <w:color w:val="231F20"/>
          <w:spacing w:val="-5"/>
          <w:sz w:val="15"/>
        </w:rPr>
        <w:t> </w:t>
      </w:r>
      <w:r>
        <w:rPr>
          <w:color w:val="231F20"/>
          <w:sz w:val="15"/>
        </w:rPr>
        <w:t>Cardiovascular autonomic effects of transcutaneous auricular nerve stimulation via the </w:t>
      </w:r>
      <w:r>
        <w:rPr>
          <w:color w:val="231F20"/>
          <w:spacing w:val="-3"/>
          <w:sz w:val="15"/>
        </w:rPr>
        <w:t>tragus </w:t>
      </w:r>
      <w:r>
        <w:rPr>
          <w:color w:val="231F20"/>
          <w:sz w:val="15"/>
        </w:rPr>
        <w:t>in the rat involve spinal cervical sensory afferent pathways. </w:t>
      </w:r>
      <w:r>
        <w:rPr>
          <w:i/>
          <w:color w:val="231F20"/>
          <w:sz w:val="15"/>
        </w:rPr>
        <w:t>Brain Stimul. </w:t>
      </w:r>
      <w:hyperlink r:id="rId92">
        <w:r>
          <w:rPr>
            <w:color w:val="231F20"/>
            <w:sz w:val="15"/>
          </w:rPr>
          <w:t>doi:</w:t>
        </w:r>
      </w:hyperlink>
      <w:bookmarkStart w:name="_bookmark61" w:id="79"/>
      <w:bookmarkEnd w:id="79"/>
      <w:r>
        <w:rPr>
          <w:color w:val="231F20"/>
          <w:sz w:val="15"/>
        </w:rPr>
      </w:r>
      <w:r>
        <w:rPr>
          <w:color w:val="231F20"/>
          <w:sz w:val="15"/>
        </w:rPr>
        <w:t> </w:t>
      </w:r>
      <w:hyperlink r:id="rId92">
        <w:r>
          <w:rPr>
            <w:color w:val="231F20"/>
            <w:sz w:val="15"/>
          </w:rPr>
          <w:t>10.1016/j.brs.2019.05.002</w:t>
        </w:r>
      </w:hyperlink>
      <w:r>
        <w:rPr>
          <w:color w:val="231F20"/>
          <w:sz w:val="15"/>
        </w:rPr>
        <w:t> [Epub ahead of</w:t>
      </w:r>
      <w:r>
        <w:rPr>
          <w:color w:val="231F20"/>
          <w:spacing w:val="-1"/>
          <w:sz w:val="15"/>
        </w:rPr>
        <w:t> </w:t>
      </w:r>
      <w:r>
        <w:rPr>
          <w:color w:val="231F20"/>
          <w:sz w:val="15"/>
        </w:rPr>
        <w:t>print].</w:t>
      </w:r>
    </w:p>
    <w:p>
      <w:pPr>
        <w:spacing w:line="223" w:lineRule="auto" w:before="3"/>
        <w:ind w:left="358" w:right="155" w:hanging="200"/>
        <w:jc w:val="both"/>
        <w:rPr>
          <w:sz w:val="15"/>
        </w:rPr>
      </w:pPr>
      <w:r>
        <w:rPr>
          <w:color w:val="231F20"/>
          <w:sz w:val="15"/>
        </w:rPr>
        <w:t>Martlé,</w:t>
      </w:r>
      <w:r>
        <w:rPr>
          <w:color w:val="231F20"/>
          <w:spacing w:val="-3"/>
          <w:sz w:val="15"/>
        </w:rPr>
        <w:t> </w:t>
      </w:r>
      <w:r>
        <w:rPr>
          <w:color w:val="231F20"/>
          <w:sz w:val="15"/>
        </w:rPr>
        <w:t>V.,</w:t>
      </w:r>
      <w:r>
        <w:rPr>
          <w:color w:val="231F20"/>
          <w:spacing w:val="-2"/>
          <w:sz w:val="15"/>
        </w:rPr>
        <w:t> </w:t>
      </w:r>
      <w:r>
        <w:rPr>
          <w:color w:val="231F20"/>
          <w:sz w:val="15"/>
        </w:rPr>
        <w:t>Peremans,</w:t>
      </w:r>
      <w:r>
        <w:rPr>
          <w:color w:val="231F20"/>
          <w:spacing w:val="-2"/>
          <w:sz w:val="15"/>
        </w:rPr>
        <w:t> </w:t>
      </w:r>
      <w:r>
        <w:rPr>
          <w:color w:val="231F20"/>
          <w:sz w:val="15"/>
        </w:rPr>
        <w:t>K.,</w:t>
      </w:r>
      <w:r>
        <w:rPr>
          <w:color w:val="231F20"/>
          <w:spacing w:val="-2"/>
          <w:sz w:val="15"/>
        </w:rPr>
        <w:t> </w:t>
      </w:r>
      <w:r>
        <w:rPr>
          <w:color w:val="231F20"/>
          <w:sz w:val="15"/>
        </w:rPr>
        <w:t>Raedt,</w:t>
      </w:r>
      <w:r>
        <w:rPr>
          <w:color w:val="231F20"/>
          <w:spacing w:val="-3"/>
          <w:sz w:val="15"/>
        </w:rPr>
        <w:t> </w:t>
      </w:r>
      <w:r>
        <w:rPr>
          <w:color w:val="231F20"/>
          <w:sz w:val="15"/>
        </w:rPr>
        <w:t>R.,</w:t>
      </w:r>
      <w:r>
        <w:rPr>
          <w:color w:val="231F20"/>
          <w:spacing w:val="-2"/>
          <w:sz w:val="15"/>
        </w:rPr>
        <w:t> </w:t>
      </w:r>
      <w:r>
        <w:rPr>
          <w:color w:val="231F20"/>
          <w:sz w:val="15"/>
        </w:rPr>
        <w:t>Vermeire,</w:t>
      </w:r>
      <w:r>
        <w:rPr>
          <w:color w:val="231F20"/>
          <w:spacing w:val="-2"/>
          <w:sz w:val="15"/>
        </w:rPr>
        <w:t> </w:t>
      </w:r>
      <w:r>
        <w:rPr>
          <w:color w:val="231F20"/>
          <w:sz w:val="15"/>
        </w:rPr>
        <w:t>S.,</w:t>
      </w:r>
      <w:r>
        <w:rPr>
          <w:color w:val="231F20"/>
          <w:spacing w:val="-2"/>
          <w:sz w:val="15"/>
        </w:rPr>
        <w:t> </w:t>
      </w:r>
      <w:r>
        <w:rPr>
          <w:color w:val="231F20"/>
          <w:sz w:val="15"/>
        </w:rPr>
        <w:t>Vonck,</w:t>
      </w:r>
      <w:r>
        <w:rPr>
          <w:color w:val="231F20"/>
          <w:spacing w:val="-2"/>
          <w:sz w:val="15"/>
        </w:rPr>
        <w:t> </w:t>
      </w:r>
      <w:r>
        <w:rPr>
          <w:color w:val="231F20"/>
          <w:sz w:val="15"/>
        </w:rPr>
        <w:t>K.,</w:t>
      </w:r>
      <w:r>
        <w:rPr>
          <w:color w:val="231F20"/>
          <w:spacing w:val="-3"/>
          <w:sz w:val="15"/>
        </w:rPr>
        <w:t> </w:t>
      </w:r>
      <w:r>
        <w:rPr>
          <w:color w:val="231F20"/>
          <w:sz w:val="15"/>
        </w:rPr>
        <w:t>Boon,</w:t>
      </w:r>
      <w:r>
        <w:rPr>
          <w:color w:val="231F20"/>
          <w:spacing w:val="-2"/>
          <w:sz w:val="15"/>
        </w:rPr>
        <w:t> </w:t>
      </w:r>
      <w:r>
        <w:rPr>
          <w:color w:val="231F20"/>
          <w:sz w:val="15"/>
        </w:rPr>
        <w:t>P.,</w:t>
      </w:r>
      <w:r>
        <w:rPr>
          <w:color w:val="231F20"/>
          <w:spacing w:val="-2"/>
          <w:sz w:val="15"/>
        </w:rPr>
        <w:t> </w:t>
      </w:r>
      <w:r>
        <w:rPr>
          <w:color w:val="231F20"/>
          <w:sz w:val="15"/>
        </w:rPr>
        <w:t>et</w:t>
      </w:r>
      <w:r>
        <w:rPr>
          <w:color w:val="231F20"/>
          <w:spacing w:val="-2"/>
          <w:sz w:val="15"/>
        </w:rPr>
        <w:t> </w:t>
      </w:r>
      <w:r>
        <w:rPr>
          <w:color w:val="231F20"/>
          <w:sz w:val="15"/>
        </w:rPr>
        <w:t>al.</w:t>
      </w:r>
      <w:r>
        <w:rPr>
          <w:color w:val="231F20"/>
          <w:spacing w:val="-2"/>
          <w:sz w:val="15"/>
        </w:rPr>
        <w:t> </w:t>
      </w:r>
      <w:r>
        <w:rPr>
          <w:color w:val="231F20"/>
          <w:sz w:val="15"/>
        </w:rPr>
        <w:t>(2014). Regional brain perfusion changes during standard and microburst vagus nerve stimulation in dogs. </w:t>
      </w:r>
      <w:r>
        <w:rPr>
          <w:i/>
          <w:color w:val="231F20"/>
          <w:sz w:val="15"/>
        </w:rPr>
        <w:t>Epilepsy Res. </w:t>
      </w:r>
      <w:r>
        <w:rPr>
          <w:color w:val="231F20"/>
          <w:sz w:val="15"/>
        </w:rPr>
        <w:t>108, 616–622. </w:t>
      </w:r>
      <w:hyperlink r:id="rId93">
        <w:r>
          <w:rPr>
            <w:color w:val="231F20"/>
            <w:sz w:val="15"/>
          </w:rPr>
          <w:t>doi: 10.1016/j.eplepsyres.2014.</w:t>
        </w:r>
      </w:hyperlink>
      <w:bookmarkStart w:name="_bookmark62" w:id="80"/>
      <w:bookmarkEnd w:id="80"/>
      <w:r>
        <w:rPr>
          <w:color w:val="231F20"/>
          <w:sz w:val="15"/>
        </w:rPr>
      </w:r>
      <w:r>
        <w:rPr>
          <w:color w:val="231F20"/>
          <w:sz w:val="15"/>
        </w:rPr>
        <w:t> </w:t>
      </w:r>
      <w:hyperlink r:id="rId93">
        <w:r>
          <w:rPr>
            <w:color w:val="231F20"/>
            <w:sz w:val="15"/>
          </w:rPr>
          <w:t>02.004</w:t>
        </w:r>
      </w:hyperlink>
    </w:p>
    <w:p>
      <w:pPr>
        <w:spacing w:line="223" w:lineRule="auto" w:before="2"/>
        <w:ind w:left="358" w:right="155" w:hanging="200"/>
        <w:jc w:val="both"/>
        <w:rPr>
          <w:sz w:val="15"/>
        </w:rPr>
      </w:pPr>
      <w:r>
        <w:rPr>
          <w:color w:val="231F20"/>
          <w:sz w:val="15"/>
        </w:rPr>
        <w:t>McIntyre,  C.  C.,  Richardson,  A.  G.,  and  Grill,  W.  M.  (2002).  Modeling    </w:t>
      </w:r>
      <w:r>
        <w:rPr>
          <w:color w:val="231F20"/>
          <w:spacing w:val="34"/>
          <w:sz w:val="15"/>
        </w:rPr>
        <w:t> </w:t>
      </w:r>
      <w:r>
        <w:rPr>
          <w:color w:val="231F20"/>
          <w:sz w:val="15"/>
        </w:rPr>
        <w:t>the excitability of mammalian nerve fibers:  influence  of  afterpotentials  on the recovery cycle. </w:t>
      </w:r>
      <w:r>
        <w:rPr>
          <w:i/>
          <w:color w:val="231F20"/>
          <w:sz w:val="15"/>
        </w:rPr>
        <w:t>J. Neurophysiol. </w:t>
      </w:r>
      <w:r>
        <w:rPr>
          <w:color w:val="231F20"/>
          <w:sz w:val="15"/>
        </w:rPr>
        <w:t>87,  995–1006.  </w:t>
      </w:r>
      <w:hyperlink r:id="rId94">
        <w:r>
          <w:rPr>
            <w:color w:val="231F20"/>
            <w:sz w:val="15"/>
          </w:rPr>
          <w:t>doi:  10.1152/jn.00353.</w:t>
        </w:r>
      </w:hyperlink>
      <w:bookmarkStart w:name="_bookmark63" w:id="81"/>
      <w:bookmarkEnd w:id="81"/>
      <w:r>
        <w:rPr>
          <w:color w:val="231F20"/>
          <w:sz w:val="15"/>
        </w:rPr>
      </w:r>
      <w:r>
        <w:rPr>
          <w:color w:val="231F20"/>
          <w:spacing w:val="34"/>
          <w:sz w:val="15"/>
        </w:rPr>
        <w:t> </w:t>
      </w:r>
      <w:hyperlink r:id="rId94">
        <w:r>
          <w:rPr>
            <w:color w:val="231F20"/>
            <w:sz w:val="15"/>
          </w:rPr>
          <w:t>2001</w:t>
        </w:r>
      </w:hyperlink>
    </w:p>
    <w:p>
      <w:pPr>
        <w:spacing w:line="223" w:lineRule="auto" w:before="3"/>
        <w:ind w:left="358" w:right="155" w:hanging="200"/>
        <w:jc w:val="both"/>
        <w:rPr>
          <w:sz w:val="15"/>
        </w:rPr>
      </w:pPr>
      <w:r>
        <w:rPr>
          <w:color w:val="231F20"/>
          <w:sz w:val="15"/>
        </w:rPr>
        <w:t>Mercante, B., Ginatempo, F., Manca, A., Melis, F., Enrico, P., and Deriu, F.  (2018). Anatomo-physiologic basis for auricular stimulation. </w:t>
      </w:r>
      <w:r>
        <w:rPr>
          <w:i/>
          <w:color w:val="231F20"/>
          <w:sz w:val="15"/>
        </w:rPr>
        <w:t>Med. Acupunct.</w:t>
      </w:r>
      <w:bookmarkStart w:name="_bookmark64" w:id="82"/>
      <w:bookmarkEnd w:id="82"/>
      <w:r>
        <w:rPr>
          <w:i/>
          <w:color w:val="231F20"/>
          <w:sz w:val="15"/>
        </w:rPr>
      </w:r>
      <w:r>
        <w:rPr>
          <w:i/>
          <w:color w:val="231F20"/>
          <w:sz w:val="15"/>
        </w:rPr>
        <w:t> </w:t>
      </w:r>
      <w:hyperlink r:id="rId95">
        <w:r>
          <w:rPr>
            <w:color w:val="231F20"/>
            <w:sz w:val="15"/>
          </w:rPr>
          <w:t>30, 141–150. doi:</w:t>
        </w:r>
        <w:r>
          <w:rPr>
            <w:color w:val="231F20"/>
            <w:spacing w:val="-1"/>
            <w:sz w:val="15"/>
          </w:rPr>
          <w:t> </w:t>
        </w:r>
        <w:r>
          <w:rPr>
            <w:color w:val="231F20"/>
            <w:sz w:val="15"/>
          </w:rPr>
          <w:t>10.1089/acu.2017.1254</w:t>
        </w:r>
      </w:hyperlink>
    </w:p>
    <w:p>
      <w:pPr>
        <w:spacing w:line="223" w:lineRule="auto" w:before="1"/>
        <w:ind w:left="358" w:right="155" w:hanging="200"/>
        <w:jc w:val="both"/>
        <w:rPr>
          <w:sz w:val="15"/>
        </w:rPr>
      </w:pPr>
      <w:r>
        <w:rPr>
          <w:color w:val="231F20"/>
          <w:sz w:val="15"/>
        </w:rPr>
        <w:t>Mertens, A., Raedt, R., Gadeyne, S., Carrette, E., Boon, P., and Vonck, K. (2018). Recent advances in devices for vagus nerve stimulation. </w:t>
      </w:r>
      <w:r>
        <w:rPr>
          <w:i/>
          <w:color w:val="231F20"/>
          <w:sz w:val="15"/>
        </w:rPr>
        <w:t>Expert Rev. Med.</w:t>
      </w:r>
      <w:bookmarkStart w:name="_bookmark65" w:id="83"/>
      <w:bookmarkEnd w:id="83"/>
      <w:r>
        <w:rPr>
          <w:i/>
          <w:color w:val="231F20"/>
          <w:sz w:val="15"/>
        </w:rPr>
      </w:r>
      <w:r>
        <w:rPr>
          <w:i/>
          <w:color w:val="231F20"/>
          <w:sz w:val="15"/>
        </w:rPr>
        <w:t> </w:t>
      </w:r>
      <w:r>
        <w:rPr>
          <w:i/>
          <w:color w:val="231F20"/>
          <w:sz w:val="15"/>
        </w:rPr>
        <w:t>Devices </w:t>
      </w:r>
      <w:hyperlink r:id="rId96">
        <w:r>
          <w:rPr>
            <w:color w:val="231F20"/>
            <w:sz w:val="15"/>
          </w:rPr>
          <w:t>15, 527–539. doi: 10.1080/17434440.2018.1507732</w:t>
        </w:r>
      </w:hyperlink>
    </w:p>
    <w:p>
      <w:pPr>
        <w:spacing w:line="223" w:lineRule="auto" w:before="0"/>
        <w:ind w:left="358" w:right="155" w:hanging="200"/>
        <w:jc w:val="both"/>
        <w:rPr>
          <w:sz w:val="15"/>
        </w:rPr>
      </w:pPr>
      <w:r>
        <w:rPr>
          <w:color w:val="231F20"/>
          <w:sz w:val="15"/>
        </w:rPr>
        <w:t>Morris, G. L. (2003). A retrospective analysis of the effects of magnet-activated stimulation in conjunction with vagus nerve stimulation therapy. </w:t>
      </w:r>
      <w:r>
        <w:rPr>
          <w:i/>
          <w:color w:val="231F20"/>
          <w:sz w:val="15"/>
        </w:rPr>
        <w:t>Epilepsy</w:t>
      </w:r>
      <w:bookmarkStart w:name="_bookmark66" w:id="84"/>
      <w:bookmarkEnd w:id="84"/>
      <w:r>
        <w:rPr>
          <w:i/>
          <w:color w:val="231F20"/>
          <w:sz w:val="15"/>
        </w:rPr>
      </w:r>
      <w:r>
        <w:rPr>
          <w:i/>
          <w:color w:val="231F20"/>
          <w:sz w:val="15"/>
        </w:rPr>
        <w:t> </w:t>
      </w:r>
      <w:r>
        <w:rPr>
          <w:i/>
          <w:color w:val="231F20"/>
          <w:sz w:val="15"/>
        </w:rPr>
        <w:t>Behav. </w:t>
      </w:r>
      <w:hyperlink r:id="rId97">
        <w:r>
          <w:rPr>
            <w:color w:val="231F20"/>
            <w:sz w:val="15"/>
          </w:rPr>
          <w:t>4, 740–745. doi: 10.1016/s1525-5050(03)00225-7</w:t>
        </w:r>
      </w:hyperlink>
    </w:p>
    <w:p>
      <w:pPr>
        <w:spacing w:line="223" w:lineRule="auto" w:before="0"/>
        <w:ind w:left="358" w:right="155" w:hanging="200"/>
        <w:jc w:val="both"/>
        <w:rPr>
          <w:sz w:val="15"/>
        </w:rPr>
      </w:pPr>
      <w:r>
        <w:rPr>
          <w:color w:val="231F20"/>
          <w:sz w:val="15"/>
        </w:rPr>
        <w:t>Morris, J., Straube, A., Diener, H.-C., Ahmed, F., Silver, N., Walker, S., et al. (2016). Cost-effectiveness analysis of non-invasive vagus nerve stimulation for the treatment of chronic cluster headache. </w:t>
      </w:r>
      <w:r>
        <w:rPr>
          <w:i/>
          <w:color w:val="231F20"/>
          <w:sz w:val="15"/>
        </w:rPr>
        <w:t>J. Headache Pain </w:t>
      </w:r>
      <w:r>
        <w:rPr>
          <w:color w:val="231F20"/>
          <w:sz w:val="15"/>
        </w:rPr>
        <w:t>17, 1–9. </w:t>
      </w:r>
      <w:hyperlink r:id="rId98">
        <w:r>
          <w:rPr>
            <w:color w:val="231F20"/>
            <w:sz w:val="15"/>
          </w:rPr>
          <w:t>doi: 10.</w:t>
        </w:r>
      </w:hyperlink>
      <w:bookmarkStart w:name="_bookmark67" w:id="85"/>
      <w:bookmarkEnd w:id="85"/>
      <w:r>
        <w:rPr>
          <w:color w:val="231F20"/>
          <w:sz w:val="15"/>
        </w:rPr>
      </w:r>
      <w:r>
        <w:rPr>
          <w:color w:val="231F20"/>
          <w:sz w:val="15"/>
        </w:rPr>
        <w:t> </w:t>
      </w:r>
      <w:hyperlink r:id="rId98">
        <w:r>
          <w:rPr>
            <w:color w:val="231F20"/>
            <w:sz w:val="15"/>
          </w:rPr>
          <w:t>1186/s10194-016-0633-x</w:t>
        </w:r>
      </w:hyperlink>
    </w:p>
    <w:p>
      <w:pPr>
        <w:spacing w:line="223" w:lineRule="auto" w:before="2"/>
        <w:ind w:left="358" w:right="155" w:hanging="200"/>
        <w:jc w:val="both"/>
        <w:rPr>
          <w:sz w:val="15"/>
        </w:rPr>
      </w:pPr>
      <w:r>
        <w:rPr>
          <w:color w:val="231F20"/>
          <w:sz w:val="15"/>
        </w:rPr>
        <w:t>Napadow, V., Edwards, R. R., Cahalan, C. M., Mensing, G., Greenbaum, S., Valovska,</w:t>
      </w:r>
      <w:r>
        <w:rPr>
          <w:color w:val="231F20"/>
          <w:spacing w:val="-5"/>
          <w:sz w:val="15"/>
        </w:rPr>
        <w:t> </w:t>
      </w:r>
      <w:r>
        <w:rPr>
          <w:color w:val="231F20"/>
          <w:sz w:val="15"/>
        </w:rPr>
        <w:t>A.,</w:t>
      </w:r>
      <w:r>
        <w:rPr>
          <w:color w:val="231F20"/>
          <w:spacing w:val="-5"/>
          <w:sz w:val="15"/>
        </w:rPr>
        <w:t> </w:t>
      </w:r>
      <w:r>
        <w:rPr>
          <w:color w:val="231F20"/>
          <w:sz w:val="15"/>
        </w:rPr>
        <w:t>et</w:t>
      </w:r>
      <w:r>
        <w:rPr>
          <w:color w:val="231F20"/>
          <w:spacing w:val="-4"/>
          <w:sz w:val="15"/>
        </w:rPr>
        <w:t> </w:t>
      </w:r>
      <w:r>
        <w:rPr>
          <w:color w:val="231F20"/>
          <w:sz w:val="15"/>
        </w:rPr>
        <w:t>al.</w:t>
      </w:r>
      <w:r>
        <w:rPr>
          <w:color w:val="231F20"/>
          <w:spacing w:val="-5"/>
          <w:sz w:val="15"/>
        </w:rPr>
        <w:t> </w:t>
      </w:r>
      <w:r>
        <w:rPr>
          <w:color w:val="231F20"/>
          <w:sz w:val="15"/>
        </w:rPr>
        <w:t>(2012).</w:t>
      </w:r>
      <w:r>
        <w:rPr>
          <w:color w:val="231F20"/>
          <w:spacing w:val="-4"/>
          <w:sz w:val="15"/>
        </w:rPr>
        <w:t> </w:t>
      </w:r>
      <w:r>
        <w:rPr>
          <w:color w:val="231F20"/>
          <w:sz w:val="15"/>
        </w:rPr>
        <w:t>Evoked</w:t>
      </w:r>
      <w:r>
        <w:rPr>
          <w:color w:val="231F20"/>
          <w:spacing w:val="-5"/>
          <w:sz w:val="15"/>
        </w:rPr>
        <w:t> </w:t>
      </w:r>
      <w:r>
        <w:rPr>
          <w:color w:val="231F20"/>
          <w:sz w:val="15"/>
        </w:rPr>
        <w:t>pain</w:t>
      </w:r>
      <w:r>
        <w:rPr>
          <w:color w:val="231F20"/>
          <w:spacing w:val="-4"/>
          <w:sz w:val="15"/>
        </w:rPr>
        <w:t> </w:t>
      </w:r>
      <w:r>
        <w:rPr>
          <w:color w:val="231F20"/>
          <w:sz w:val="15"/>
        </w:rPr>
        <w:t>analgesia</w:t>
      </w:r>
      <w:r>
        <w:rPr>
          <w:color w:val="231F20"/>
          <w:spacing w:val="-5"/>
          <w:sz w:val="15"/>
        </w:rPr>
        <w:t> </w:t>
      </w:r>
      <w:r>
        <w:rPr>
          <w:color w:val="231F20"/>
          <w:sz w:val="15"/>
        </w:rPr>
        <w:t>in</w:t>
      </w:r>
      <w:r>
        <w:rPr>
          <w:color w:val="231F20"/>
          <w:spacing w:val="-4"/>
          <w:sz w:val="15"/>
        </w:rPr>
        <w:t> </w:t>
      </w:r>
      <w:r>
        <w:rPr>
          <w:color w:val="231F20"/>
          <w:sz w:val="15"/>
        </w:rPr>
        <w:t>chronic</w:t>
      </w:r>
      <w:r>
        <w:rPr>
          <w:color w:val="231F20"/>
          <w:spacing w:val="-5"/>
          <w:sz w:val="15"/>
        </w:rPr>
        <w:t> </w:t>
      </w:r>
      <w:r>
        <w:rPr>
          <w:color w:val="231F20"/>
          <w:sz w:val="15"/>
        </w:rPr>
        <w:t>pelvic</w:t>
      </w:r>
      <w:r>
        <w:rPr>
          <w:color w:val="231F20"/>
          <w:spacing w:val="-5"/>
          <w:sz w:val="15"/>
        </w:rPr>
        <w:t> </w:t>
      </w:r>
      <w:r>
        <w:rPr>
          <w:color w:val="231F20"/>
          <w:sz w:val="15"/>
        </w:rPr>
        <w:t>pain</w:t>
      </w:r>
      <w:r>
        <w:rPr>
          <w:color w:val="231F20"/>
          <w:spacing w:val="-4"/>
          <w:sz w:val="15"/>
        </w:rPr>
        <w:t> </w:t>
      </w:r>
      <w:r>
        <w:rPr>
          <w:color w:val="231F20"/>
          <w:sz w:val="15"/>
        </w:rPr>
        <w:t>patients using</w:t>
      </w:r>
      <w:r>
        <w:rPr>
          <w:color w:val="231F20"/>
          <w:spacing w:val="-9"/>
          <w:sz w:val="15"/>
        </w:rPr>
        <w:t> </w:t>
      </w:r>
      <w:r>
        <w:rPr>
          <w:color w:val="231F20"/>
          <w:sz w:val="15"/>
        </w:rPr>
        <w:t>respiratory-gated</w:t>
      </w:r>
      <w:r>
        <w:rPr>
          <w:color w:val="231F20"/>
          <w:spacing w:val="-9"/>
          <w:sz w:val="15"/>
        </w:rPr>
        <w:t> </w:t>
      </w:r>
      <w:r>
        <w:rPr>
          <w:color w:val="231F20"/>
          <w:sz w:val="15"/>
        </w:rPr>
        <w:t>auricular</w:t>
      </w:r>
      <w:r>
        <w:rPr>
          <w:color w:val="231F20"/>
          <w:spacing w:val="-8"/>
          <w:sz w:val="15"/>
        </w:rPr>
        <w:t> </w:t>
      </w:r>
      <w:r>
        <w:rPr>
          <w:color w:val="231F20"/>
          <w:sz w:val="15"/>
        </w:rPr>
        <w:t>vagal</w:t>
      </w:r>
      <w:r>
        <w:rPr>
          <w:color w:val="231F20"/>
          <w:spacing w:val="-9"/>
          <w:sz w:val="15"/>
        </w:rPr>
        <w:t> </w:t>
      </w:r>
      <w:r>
        <w:rPr>
          <w:color w:val="231F20"/>
          <w:sz w:val="15"/>
        </w:rPr>
        <w:t>afferent</w:t>
      </w:r>
      <w:r>
        <w:rPr>
          <w:color w:val="231F20"/>
          <w:spacing w:val="-8"/>
          <w:sz w:val="15"/>
        </w:rPr>
        <w:t> </w:t>
      </w:r>
      <w:r>
        <w:rPr>
          <w:color w:val="231F20"/>
          <w:sz w:val="15"/>
        </w:rPr>
        <w:t>nerve</w:t>
      </w:r>
      <w:r>
        <w:rPr>
          <w:color w:val="231F20"/>
          <w:spacing w:val="-9"/>
          <w:sz w:val="15"/>
        </w:rPr>
        <w:t> </w:t>
      </w:r>
      <w:r>
        <w:rPr>
          <w:color w:val="231F20"/>
          <w:sz w:val="15"/>
        </w:rPr>
        <w:t>stimulation.</w:t>
      </w:r>
      <w:r>
        <w:rPr>
          <w:color w:val="231F20"/>
          <w:spacing w:val="-8"/>
          <w:sz w:val="15"/>
        </w:rPr>
        <w:t> </w:t>
      </w:r>
      <w:r>
        <w:rPr>
          <w:i/>
          <w:color w:val="231F20"/>
          <w:sz w:val="15"/>
        </w:rPr>
        <w:t>Pain</w:t>
      </w:r>
      <w:r>
        <w:rPr>
          <w:i/>
          <w:color w:val="231F20"/>
          <w:spacing w:val="-9"/>
          <w:sz w:val="15"/>
        </w:rPr>
        <w:t> </w:t>
      </w:r>
      <w:r>
        <w:rPr>
          <w:i/>
          <w:color w:val="231F20"/>
          <w:sz w:val="15"/>
        </w:rPr>
        <w:t>Med.</w:t>
      </w:r>
      <w:r>
        <w:rPr>
          <w:i/>
          <w:color w:val="231F20"/>
          <w:spacing w:val="-8"/>
          <w:sz w:val="15"/>
        </w:rPr>
        <w:t> </w:t>
      </w:r>
      <w:r>
        <w:rPr>
          <w:color w:val="231F20"/>
          <w:sz w:val="15"/>
        </w:rPr>
        <w:t>13,</w:t>
      </w:r>
      <w:bookmarkStart w:name="_bookmark68" w:id="86"/>
      <w:bookmarkEnd w:id="86"/>
      <w:r>
        <w:rPr>
          <w:color w:val="231F20"/>
          <w:sz w:val="15"/>
        </w:rPr>
      </w:r>
      <w:r>
        <w:rPr>
          <w:color w:val="231F20"/>
          <w:sz w:val="15"/>
        </w:rPr>
        <w:t> </w:t>
      </w:r>
      <w:hyperlink r:id="rId99">
        <w:r>
          <w:rPr>
            <w:color w:val="231F20"/>
            <w:sz w:val="15"/>
          </w:rPr>
          <w:t>777–789. doi: 10.1111/j.1526-4637.2012.01385.x</w:t>
        </w:r>
      </w:hyperlink>
    </w:p>
    <w:p>
      <w:pPr>
        <w:spacing w:line="223" w:lineRule="auto" w:before="3"/>
        <w:ind w:left="358" w:right="155" w:hanging="200"/>
        <w:jc w:val="both"/>
        <w:rPr>
          <w:sz w:val="15"/>
        </w:rPr>
      </w:pPr>
      <w:r>
        <w:rPr>
          <w:color w:val="231F20"/>
          <w:sz w:val="15"/>
        </w:rPr>
        <w:t>Nayak, S. K., Bit, A., Dey, A., Mohapatra, B., and Pal, K. (2018). A review on the nonlinear dynamical system analysis of electrocardiogram signal. </w:t>
      </w:r>
      <w:r>
        <w:rPr>
          <w:i/>
          <w:color w:val="231F20"/>
          <w:sz w:val="15"/>
        </w:rPr>
        <w:t>J. Healthc.</w:t>
      </w:r>
      <w:bookmarkStart w:name="_bookmark69" w:id="87"/>
      <w:bookmarkEnd w:id="87"/>
      <w:r>
        <w:rPr>
          <w:i/>
          <w:color w:val="231F20"/>
          <w:sz w:val="15"/>
        </w:rPr>
      </w:r>
      <w:r>
        <w:rPr>
          <w:i/>
          <w:color w:val="231F20"/>
          <w:sz w:val="15"/>
        </w:rPr>
        <w:t> </w:t>
      </w:r>
      <w:r>
        <w:rPr>
          <w:i/>
          <w:color w:val="231F20"/>
          <w:sz w:val="15"/>
        </w:rPr>
        <w:t>Eng. </w:t>
      </w:r>
      <w:hyperlink r:id="rId100">
        <w:r>
          <w:rPr>
            <w:color w:val="231F20"/>
            <w:sz w:val="15"/>
          </w:rPr>
          <w:t>2018:6920420. doi: 10.1155/2018/6920420</w:t>
        </w:r>
      </w:hyperlink>
    </w:p>
    <w:p>
      <w:pPr>
        <w:spacing w:line="223" w:lineRule="auto" w:before="0"/>
        <w:ind w:left="358" w:right="155" w:hanging="200"/>
        <w:jc w:val="both"/>
        <w:rPr>
          <w:sz w:val="15"/>
        </w:rPr>
      </w:pPr>
      <w:r>
        <w:rPr>
          <w:color w:val="231F20"/>
          <w:sz w:val="15"/>
        </w:rPr>
        <w:t>Neufeld, E., Cassará, A. M., Montanaro, H., Kuster, N., and Kainz, W. (2016). Functionalized anatomical models for EM-neuron Interaction modeling. </w:t>
      </w:r>
      <w:r>
        <w:rPr>
          <w:i/>
          <w:color w:val="231F20"/>
          <w:sz w:val="15"/>
        </w:rPr>
        <w:t>Phys.</w:t>
      </w:r>
      <w:bookmarkStart w:name="_bookmark70" w:id="88"/>
      <w:bookmarkEnd w:id="88"/>
      <w:r>
        <w:rPr>
          <w:i/>
          <w:color w:val="231F20"/>
          <w:sz w:val="15"/>
        </w:rPr>
      </w:r>
      <w:r>
        <w:rPr>
          <w:i/>
          <w:color w:val="231F20"/>
          <w:sz w:val="15"/>
        </w:rPr>
        <w:t> </w:t>
      </w:r>
      <w:r>
        <w:rPr>
          <w:i/>
          <w:color w:val="231F20"/>
          <w:sz w:val="15"/>
        </w:rPr>
        <w:t>Med. Biol. </w:t>
      </w:r>
      <w:hyperlink r:id="rId101">
        <w:r>
          <w:rPr>
            <w:color w:val="231F20"/>
            <w:sz w:val="15"/>
          </w:rPr>
          <w:t>61, 4390–4401. doi: 10.1088/0031-9155/61/12/4390</w:t>
        </w:r>
      </w:hyperlink>
    </w:p>
    <w:p>
      <w:pPr>
        <w:spacing w:line="225" w:lineRule="auto" w:before="0"/>
        <w:ind w:left="358" w:right="155" w:hanging="200"/>
        <w:jc w:val="both"/>
        <w:rPr>
          <w:sz w:val="15"/>
        </w:rPr>
      </w:pPr>
      <w:r>
        <w:rPr>
          <w:color w:val="231F20"/>
          <w:sz w:val="15"/>
        </w:rPr>
        <w:t>Neufeld, E., Szczerba, D., Chavannes, N., and Kuster, N.  (2014).  A  novel</w:t>
      </w:r>
      <w:r>
        <w:rPr>
          <w:color w:val="231F20"/>
          <w:spacing w:val="34"/>
          <w:sz w:val="15"/>
        </w:rPr>
        <w:t> </w:t>
      </w:r>
      <w:r>
        <w:rPr>
          <w:color w:val="231F20"/>
          <w:sz w:val="15"/>
        </w:rPr>
        <w:t>medical</w:t>
      </w:r>
      <w:r>
        <w:rPr>
          <w:color w:val="231F20"/>
          <w:spacing w:val="9"/>
          <w:sz w:val="15"/>
        </w:rPr>
        <w:t> </w:t>
      </w:r>
      <w:r>
        <w:rPr>
          <w:color w:val="231F20"/>
          <w:sz w:val="15"/>
        </w:rPr>
        <w:t>image</w:t>
      </w:r>
      <w:r>
        <w:rPr>
          <w:color w:val="231F20"/>
          <w:spacing w:val="10"/>
          <w:sz w:val="15"/>
        </w:rPr>
        <w:t> </w:t>
      </w:r>
      <w:r>
        <w:rPr>
          <w:color w:val="231F20"/>
          <w:sz w:val="15"/>
        </w:rPr>
        <w:t>data-based</w:t>
      </w:r>
      <w:r>
        <w:rPr>
          <w:color w:val="231F20"/>
          <w:spacing w:val="10"/>
          <w:sz w:val="15"/>
        </w:rPr>
        <w:t> </w:t>
      </w:r>
      <w:r>
        <w:rPr>
          <w:color w:val="231F20"/>
          <w:sz w:val="15"/>
        </w:rPr>
        <w:t>multi-physics</w:t>
      </w:r>
      <w:r>
        <w:rPr>
          <w:color w:val="231F20"/>
          <w:spacing w:val="9"/>
          <w:sz w:val="15"/>
        </w:rPr>
        <w:t> </w:t>
      </w:r>
      <w:r>
        <w:rPr>
          <w:color w:val="231F20"/>
          <w:sz w:val="15"/>
        </w:rPr>
        <w:t>simulation</w:t>
      </w:r>
      <w:r>
        <w:rPr>
          <w:color w:val="231F20"/>
          <w:spacing w:val="10"/>
          <w:sz w:val="15"/>
        </w:rPr>
        <w:t> </w:t>
      </w:r>
      <w:r>
        <w:rPr>
          <w:color w:val="231F20"/>
          <w:sz w:val="15"/>
        </w:rPr>
        <w:t>platform</w:t>
      </w:r>
      <w:r>
        <w:rPr>
          <w:color w:val="231F20"/>
          <w:spacing w:val="10"/>
          <w:sz w:val="15"/>
        </w:rPr>
        <w:t> </w:t>
      </w:r>
      <w:r>
        <w:rPr>
          <w:color w:val="231F20"/>
          <w:spacing w:val="-4"/>
          <w:sz w:val="15"/>
        </w:rPr>
        <w:t>for</w:t>
      </w:r>
    </w:p>
    <w:p>
      <w:pPr>
        <w:spacing w:after="0" w:line="225" w:lineRule="auto"/>
        <w:jc w:val="both"/>
        <w:rPr>
          <w:sz w:val="15"/>
        </w:rPr>
        <w:sectPr>
          <w:type w:val="continuous"/>
          <w:pgSz w:w="11910" w:h="15600"/>
          <w:pgMar w:top="520" w:bottom="780" w:left="740" w:right="740"/>
          <w:cols w:num="2" w:equalWidth="0">
            <w:col w:w="5101" w:space="67"/>
            <w:col w:w="5262"/>
          </w:cols>
        </w:sectPr>
      </w:pPr>
    </w:p>
    <w:p>
      <w:pPr>
        <w:pStyle w:val="BodyText"/>
        <w:spacing w:before="3"/>
        <w:ind w:left="0"/>
        <w:rPr>
          <w:sz w:val="22"/>
        </w:rPr>
      </w:pPr>
    </w:p>
    <w:p>
      <w:pPr>
        <w:spacing w:after="0"/>
        <w:rPr>
          <w:sz w:val="22"/>
        </w:rPr>
        <w:sectPr>
          <w:pgSz w:w="11910" w:h="15600"/>
          <w:pgMar w:header="560" w:footer="588" w:top="840" w:bottom="780" w:left="740" w:right="740"/>
        </w:sectPr>
      </w:pPr>
    </w:p>
    <w:p>
      <w:pPr>
        <w:spacing w:line="225" w:lineRule="auto" w:before="97"/>
        <w:ind w:left="358" w:right="0" w:firstLine="0"/>
        <w:jc w:val="both"/>
        <w:rPr>
          <w:sz w:val="15"/>
        </w:rPr>
      </w:pPr>
      <w:r>
        <w:rPr>
          <w:color w:val="231F20"/>
          <w:sz w:val="15"/>
        </w:rPr>
        <w:t>computational life  sciences.  </w:t>
      </w:r>
      <w:r>
        <w:rPr>
          <w:i/>
          <w:color w:val="231F20"/>
          <w:sz w:val="15"/>
        </w:rPr>
        <w:t>Interface Focus </w:t>
      </w:r>
      <w:r>
        <w:rPr>
          <w:color w:val="231F20"/>
          <w:sz w:val="15"/>
        </w:rPr>
        <w:t>3,  1–6.  </w:t>
      </w:r>
      <w:hyperlink r:id="rId102">
        <w:r>
          <w:rPr>
            <w:color w:val="231F20"/>
            <w:sz w:val="15"/>
          </w:rPr>
          <w:t>doi:  10.1098/rsfs.</w:t>
        </w:r>
      </w:hyperlink>
      <w:bookmarkStart w:name="_bookmark71" w:id="89"/>
      <w:bookmarkEnd w:id="89"/>
      <w:r>
        <w:rPr>
          <w:color w:val="231F20"/>
          <w:sz w:val="15"/>
        </w:rPr>
      </w:r>
      <w:r>
        <w:rPr>
          <w:color w:val="231F20"/>
          <w:sz w:val="15"/>
        </w:rPr>
        <w:t> </w:t>
      </w:r>
      <w:hyperlink r:id="rId102">
        <w:r>
          <w:rPr>
            <w:color w:val="231F20"/>
            <w:sz w:val="15"/>
          </w:rPr>
          <w:t>2012.0058</w:t>
        </w:r>
      </w:hyperlink>
    </w:p>
    <w:p>
      <w:pPr>
        <w:spacing w:line="223" w:lineRule="auto" w:before="0"/>
        <w:ind w:left="358" w:right="0" w:hanging="200"/>
        <w:jc w:val="both"/>
        <w:rPr>
          <w:sz w:val="15"/>
        </w:rPr>
      </w:pPr>
      <w:r>
        <w:rPr>
          <w:color w:val="231F20"/>
          <w:sz w:val="15"/>
        </w:rPr>
        <w:t>Nonis, R., D’Ostilio, K.,  Schoenen, J., and Magis,  D. (2017). Evidence of activation of vagal afferents by non-invasive vagus nerve stimulation: an electrophysiological study in healthy volunteers. </w:t>
      </w:r>
      <w:r>
        <w:rPr>
          <w:i/>
          <w:color w:val="231F20"/>
          <w:sz w:val="15"/>
        </w:rPr>
        <w:t>Cephalalgia </w:t>
      </w:r>
      <w:r>
        <w:rPr>
          <w:color w:val="231F20"/>
          <w:sz w:val="15"/>
        </w:rPr>
        <w:t>37, 1285–1293.</w:t>
      </w:r>
      <w:bookmarkStart w:name="_bookmark72" w:id="90"/>
      <w:bookmarkEnd w:id="90"/>
      <w:r>
        <w:rPr>
          <w:color w:val="231F20"/>
          <w:sz w:val="15"/>
        </w:rPr>
      </w:r>
      <w:r>
        <w:rPr>
          <w:color w:val="231F20"/>
          <w:sz w:val="15"/>
        </w:rPr>
        <w:t> </w:t>
      </w:r>
      <w:hyperlink r:id="rId103">
        <w:r>
          <w:rPr>
            <w:color w:val="231F20"/>
            <w:sz w:val="15"/>
          </w:rPr>
          <w:t>doi: 10.1177/0333102417717470</w:t>
        </w:r>
      </w:hyperlink>
    </w:p>
    <w:p>
      <w:pPr>
        <w:pStyle w:val="BodyText"/>
        <w:spacing w:line="189" w:lineRule="exact"/>
        <w:ind w:left="125" w:right="-87"/>
        <w:rPr>
          <w:sz w:val="18"/>
        </w:rPr>
      </w:pPr>
      <w:r>
        <w:rPr>
          <w:position w:val="-3"/>
          <w:sz w:val="18"/>
        </w:rPr>
        <w:pict>
          <v:shape style="width:250.45pt;height:9.5pt;mso-position-horizontal-relative:char;mso-position-vertical-relative:line" type="#_x0000_t202" filled="true" fillcolor="#fde164" stroked="false">
            <w10:anchorlock/>
            <v:textbox inset="0,0,0,0">
              <w:txbxContent>
                <w:p>
                  <w:pPr>
                    <w:spacing w:line="189" w:lineRule="exact" w:before="0"/>
                    <w:ind w:left="33" w:right="0" w:firstLine="0"/>
                    <w:jc w:val="left"/>
                    <w:rPr>
                      <w:sz w:val="15"/>
                    </w:rPr>
                  </w:pPr>
                  <w:r>
                    <w:rPr>
                      <w:color w:val="231F20"/>
                      <w:sz w:val="15"/>
                    </w:rPr>
                    <w:t>Olofsson, P. S., Levine, Y. A., Caravaca, A., Chavan, S. S., Pavlov, V. A., Faltys, M.,</w:t>
                  </w:r>
                </w:p>
              </w:txbxContent>
            </v:textbox>
            <v:fill opacity="26214f" type="solid"/>
          </v:shape>
        </w:pict>
      </w:r>
      <w:r>
        <w:rPr>
          <w:position w:val="-3"/>
          <w:sz w:val="18"/>
        </w:rPr>
      </w:r>
    </w:p>
    <w:p>
      <w:pPr>
        <w:pStyle w:val="BodyText"/>
        <w:spacing w:line="190" w:lineRule="exact"/>
        <w:ind w:left="324" w:right="-87"/>
      </w:pPr>
      <w:r>
        <w:rPr>
          <w:position w:val="-3"/>
        </w:rPr>
        <w:pict>
          <v:shape style="width:240.5pt;height:9.550pt;mso-position-horizontal-relative:char;mso-position-vertical-relative:line" type="#_x0000_t202" filled="true" fillcolor="#fde164" stroked="false">
            <w10:anchorlock/>
            <v:textbox inset="0,0,0,0">
              <w:txbxContent>
                <w:p>
                  <w:pPr>
                    <w:spacing w:line="190" w:lineRule="exact" w:before="0"/>
                    <w:ind w:left="33" w:right="0" w:firstLine="0"/>
                    <w:jc w:val="left"/>
                    <w:rPr>
                      <w:sz w:val="15"/>
                    </w:rPr>
                  </w:pPr>
                  <w:r>
                    <w:rPr>
                      <w:color w:val="231F20"/>
                      <w:sz w:val="15"/>
                    </w:rPr>
                    <w:t>et al. (2015). Single-pulse and unidirectional electrical activation of the cervical</w:t>
                  </w:r>
                </w:p>
              </w:txbxContent>
            </v:textbox>
            <v:fill opacity="26214f" type="solid"/>
          </v:shape>
        </w:pict>
      </w:r>
      <w:r>
        <w:rPr>
          <w:position w:val="-3"/>
        </w:rPr>
      </w:r>
    </w:p>
    <w:p>
      <w:pPr>
        <w:pStyle w:val="BodyText"/>
        <w:ind w:left="0"/>
        <w:rPr>
          <w:sz w:val="18"/>
        </w:rPr>
      </w:pPr>
    </w:p>
    <w:p>
      <w:pPr>
        <w:spacing w:line="223" w:lineRule="auto" w:before="137"/>
        <w:ind w:left="358" w:right="0" w:hanging="200"/>
        <w:jc w:val="both"/>
        <w:rPr>
          <w:sz w:val="15"/>
        </w:rPr>
      </w:pPr>
      <w:r>
        <w:rPr/>
        <w:pict>
          <v:shape style="position:absolute;margin-left:53.246948pt;margin-top:-2.593121pt;width:35.65pt;height:9.6pt;mso-position-horizontal-relative:page;mso-position-vertical-relative:paragraph;z-index:3664" type="#_x0000_t202" filled="true" fillcolor="#fde164" stroked="false">
            <v:textbox inset="0,0,0,0">
              <w:txbxContent>
                <w:p>
                  <w:pPr>
                    <w:spacing w:line="192" w:lineRule="exact" w:before="0"/>
                    <w:ind w:left="33" w:right="0" w:firstLine="0"/>
                    <w:jc w:val="left"/>
                    <w:rPr>
                      <w:sz w:val="15"/>
                    </w:rPr>
                  </w:pPr>
                  <w:r>
                    <w:rPr>
                      <w:color w:val="231F20"/>
                      <w:sz w:val="15"/>
                    </w:rPr>
                    <w:t>2:2010037.</w:t>
                  </w:r>
                </w:p>
              </w:txbxContent>
            </v:textbox>
            <v:fill opacity="26214f" type="solid"/>
            <w10:wrap type="none"/>
          </v:shape>
        </w:pict>
      </w:r>
      <w:r>
        <w:rPr/>
        <w:pict>
          <v:shape style="position:absolute;margin-left:53.246948pt;margin-top:-12.00897pt;width:240.5pt;height:9.450pt;mso-position-horizontal-relative:page;mso-position-vertical-relative:paragraph;z-index:3688" type="#_x0000_t202" filled="true" fillcolor="#fde164" stroked="false">
            <v:textbox inset="0,0,0,0">
              <w:txbxContent>
                <w:p>
                  <w:pPr>
                    <w:spacing w:line="188" w:lineRule="exact" w:before="0"/>
                    <w:ind w:left="33" w:right="0" w:firstLine="0"/>
                    <w:jc w:val="left"/>
                    <w:rPr>
                      <w:i/>
                      <w:sz w:val="15"/>
                    </w:rPr>
                  </w:pPr>
                  <w:r>
                    <w:rPr>
                      <w:color w:val="231F20"/>
                      <w:sz w:val="15"/>
                    </w:rPr>
                    <w:t>vagus nerve reduces tumor necrosis factor in endotoxemia. </w:t>
                  </w:r>
                  <w:r>
                    <w:rPr>
                      <w:i/>
                      <w:color w:val="231F20"/>
                      <w:sz w:val="15"/>
                    </w:rPr>
                    <w:t>Bioelectron. Med.</w:t>
                  </w:r>
                </w:p>
              </w:txbxContent>
            </v:textbox>
            <v:fill opacity="26214f" type="solid"/>
            <w10:wrap type="none"/>
          </v:shape>
        </w:pict>
      </w:r>
      <w:bookmarkStart w:name="_bookmark74" w:id="91"/>
      <w:bookmarkEnd w:id="91"/>
      <w:r>
        <w:rPr/>
      </w:r>
      <w:r>
        <w:rPr>
          <w:color w:val="231F20"/>
          <w:sz w:val="15"/>
        </w:rPr>
        <w:t>Peña,  D.  F.,  Engineer,  N.  D.,  and  McIntyre,  C.  K.  (2012).  Rapid  </w:t>
      </w:r>
      <w:r>
        <w:rPr>
          <w:color w:val="231F20"/>
          <w:spacing w:val="-3"/>
          <w:sz w:val="15"/>
        </w:rPr>
        <w:t>remission  </w:t>
      </w:r>
      <w:r>
        <w:rPr>
          <w:color w:val="231F20"/>
          <w:sz w:val="15"/>
        </w:rPr>
        <w:t>of conditioned fear expression with extinction training paired with </w:t>
      </w:r>
      <w:r>
        <w:rPr>
          <w:color w:val="231F20"/>
          <w:spacing w:val="-4"/>
          <w:sz w:val="15"/>
        </w:rPr>
        <w:t>vagus  </w:t>
      </w:r>
      <w:r>
        <w:rPr>
          <w:color w:val="231F20"/>
          <w:sz w:val="15"/>
        </w:rPr>
        <w:t>nerve</w:t>
      </w:r>
      <w:r>
        <w:rPr>
          <w:color w:val="231F20"/>
          <w:spacing w:val="-7"/>
          <w:sz w:val="15"/>
        </w:rPr>
        <w:t> </w:t>
      </w:r>
      <w:r>
        <w:rPr>
          <w:color w:val="231F20"/>
          <w:sz w:val="15"/>
        </w:rPr>
        <w:t>stimulation.</w:t>
      </w:r>
      <w:r>
        <w:rPr>
          <w:color w:val="231F20"/>
          <w:spacing w:val="-6"/>
          <w:sz w:val="15"/>
        </w:rPr>
        <w:t> </w:t>
      </w:r>
      <w:r>
        <w:rPr>
          <w:i/>
          <w:color w:val="231F20"/>
          <w:sz w:val="15"/>
        </w:rPr>
        <w:t>Biol.</w:t>
      </w:r>
      <w:r>
        <w:rPr>
          <w:i/>
          <w:color w:val="231F20"/>
          <w:spacing w:val="-6"/>
          <w:sz w:val="15"/>
        </w:rPr>
        <w:t> </w:t>
      </w:r>
      <w:r>
        <w:rPr>
          <w:i/>
          <w:color w:val="231F20"/>
          <w:sz w:val="15"/>
        </w:rPr>
        <w:t>Psychiatry</w:t>
      </w:r>
      <w:r>
        <w:rPr>
          <w:i/>
          <w:color w:val="231F20"/>
          <w:spacing w:val="-5"/>
          <w:sz w:val="15"/>
        </w:rPr>
        <w:t> </w:t>
      </w:r>
      <w:r>
        <w:rPr>
          <w:color w:val="231F20"/>
          <w:sz w:val="15"/>
        </w:rPr>
        <w:t>73,</w:t>
      </w:r>
      <w:r>
        <w:rPr>
          <w:color w:val="231F20"/>
          <w:spacing w:val="-6"/>
          <w:sz w:val="15"/>
        </w:rPr>
        <w:t> </w:t>
      </w:r>
      <w:r>
        <w:rPr>
          <w:color w:val="231F20"/>
          <w:sz w:val="15"/>
        </w:rPr>
        <w:t>1071–1077.</w:t>
      </w:r>
      <w:r>
        <w:rPr>
          <w:color w:val="231F20"/>
          <w:spacing w:val="-6"/>
          <w:sz w:val="15"/>
        </w:rPr>
        <w:t> </w:t>
      </w:r>
      <w:hyperlink r:id="rId104">
        <w:r>
          <w:rPr>
            <w:color w:val="231F20"/>
            <w:sz w:val="15"/>
          </w:rPr>
          <w:t>doi:</w:t>
        </w:r>
        <w:r>
          <w:rPr>
            <w:color w:val="231F20"/>
            <w:spacing w:val="-6"/>
            <w:sz w:val="15"/>
          </w:rPr>
          <w:t> </w:t>
        </w:r>
        <w:r>
          <w:rPr>
            <w:color w:val="231F20"/>
            <w:sz w:val="15"/>
          </w:rPr>
          <w:t>10.1016/j.biopsych.2012.</w:t>
        </w:r>
      </w:hyperlink>
      <w:bookmarkStart w:name="_bookmark73" w:id="92"/>
      <w:bookmarkEnd w:id="92"/>
      <w:r>
        <w:rPr>
          <w:color w:val="231F20"/>
          <w:sz w:val="15"/>
        </w:rPr>
      </w:r>
      <w:r>
        <w:rPr>
          <w:color w:val="231F20"/>
          <w:sz w:val="15"/>
        </w:rPr>
        <w:t> </w:t>
      </w:r>
      <w:hyperlink r:id="rId104">
        <w:r>
          <w:rPr>
            <w:color w:val="231F20"/>
            <w:sz w:val="15"/>
          </w:rPr>
          <w:t>10.021</w:t>
        </w:r>
      </w:hyperlink>
    </w:p>
    <w:p>
      <w:pPr>
        <w:spacing w:line="223" w:lineRule="auto" w:before="1"/>
        <w:ind w:left="358" w:right="0" w:hanging="200"/>
        <w:jc w:val="both"/>
        <w:rPr>
          <w:sz w:val="15"/>
        </w:rPr>
      </w:pPr>
      <w:r>
        <w:rPr>
          <w:color w:val="231F20"/>
          <w:sz w:val="15"/>
        </w:rPr>
        <w:t>Peuker, E. T., and Filler, T. J. (2002). The nerve supply of the human auricle. </w:t>
      </w:r>
      <w:r>
        <w:rPr>
          <w:i/>
          <w:color w:val="231F20"/>
          <w:sz w:val="15"/>
        </w:rPr>
        <w:t>Clin.</w:t>
      </w:r>
      <w:bookmarkStart w:name="_bookmark75" w:id="93"/>
      <w:bookmarkEnd w:id="93"/>
      <w:r>
        <w:rPr>
          <w:i/>
          <w:color w:val="231F20"/>
          <w:sz w:val="15"/>
        </w:rPr>
      </w:r>
      <w:r>
        <w:rPr>
          <w:i/>
          <w:color w:val="231F20"/>
          <w:sz w:val="15"/>
        </w:rPr>
        <w:t> </w:t>
      </w:r>
      <w:r>
        <w:rPr>
          <w:i/>
          <w:color w:val="231F20"/>
          <w:sz w:val="15"/>
        </w:rPr>
        <w:t>Anat. </w:t>
      </w:r>
      <w:hyperlink r:id="rId105">
        <w:r>
          <w:rPr>
            <w:color w:val="231F20"/>
            <w:sz w:val="15"/>
          </w:rPr>
          <w:t>15, 35–37. doi: 10.1002/ca.1089</w:t>
        </w:r>
      </w:hyperlink>
    </w:p>
    <w:p>
      <w:pPr>
        <w:pStyle w:val="BodyText"/>
        <w:spacing w:line="188" w:lineRule="exact"/>
        <w:ind w:left="125" w:right="-87"/>
        <w:rPr>
          <w:sz w:val="18"/>
        </w:rPr>
      </w:pPr>
      <w:r>
        <w:rPr>
          <w:position w:val="-3"/>
          <w:sz w:val="18"/>
        </w:rPr>
        <w:pict>
          <v:shape style="width:250.45pt;height:9.450pt;mso-position-horizontal-relative:char;mso-position-vertical-relative:line" type="#_x0000_t202" filled="true" fillcolor="#fde164" stroked="false">
            <w10:anchorlock/>
            <v:textbox inset="0,0,0,0">
              <w:txbxContent>
                <w:p>
                  <w:pPr>
                    <w:spacing w:line="189" w:lineRule="exact" w:before="0"/>
                    <w:ind w:left="33" w:right="0" w:firstLine="0"/>
                    <w:jc w:val="left"/>
                    <w:rPr>
                      <w:sz w:val="15"/>
                    </w:rPr>
                  </w:pPr>
                  <w:r>
                    <w:rPr>
                      <w:color w:val="231F20"/>
                      <w:sz w:val="15"/>
                    </w:rPr>
                    <w:t>Pierzchalski, M., Stepien, R. A., and Stepien, P. (2011). New nonlinear methods</w:t>
                  </w:r>
                </w:p>
              </w:txbxContent>
            </v:textbox>
            <v:fill opacity="26214f" type="solid"/>
          </v:shape>
        </w:pict>
      </w:r>
      <w:r>
        <w:rPr>
          <w:position w:val="-3"/>
          <w:sz w:val="18"/>
        </w:rPr>
      </w:r>
    </w:p>
    <w:p>
      <w:pPr>
        <w:pStyle w:val="BodyText"/>
        <w:spacing w:line="191" w:lineRule="exact"/>
        <w:ind w:left="324" w:right="-87"/>
      </w:pPr>
      <w:r>
        <w:rPr>
          <w:position w:val="-3"/>
        </w:rPr>
        <w:pict>
          <v:shape style="width:240.5pt;height:9.6pt;mso-position-horizontal-relative:char;mso-position-vertical-relative:line" type="#_x0000_t202" filled="true" fillcolor="#fde164" stroked="false">
            <w10:anchorlock/>
            <v:textbox inset="0,0,0,0">
              <w:txbxContent>
                <w:p>
                  <w:pPr>
                    <w:spacing w:line="192" w:lineRule="exact" w:before="0"/>
                    <w:ind w:left="33" w:right="0" w:firstLine="0"/>
                    <w:jc w:val="left"/>
                    <w:rPr>
                      <w:i/>
                      <w:sz w:val="15"/>
                    </w:rPr>
                  </w:pPr>
                  <w:r>
                    <w:rPr>
                      <w:color w:val="231F20"/>
                      <w:sz w:val="15"/>
                    </w:rPr>
                    <w:t>of heart rate variability analysis in diagnostics of atrial fibrillation. </w:t>
                  </w:r>
                  <w:r>
                    <w:rPr>
                      <w:i/>
                      <w:color w:val="231F20"/>
                      <w:sz w:val="15"/>
                    </w:rPr>
                    <w:t>Int. J. Biol.</w:t>
                  </w:r>
                </w:p>
              </w:txbxContent>
            </v:textbox>
            <v:fill opacity="26214f" type="solid"/>
          </v:shape>
        </w:pict>
      </w:r>
      <w:r>
        <w:rPr>
          <w:position w:val="-3"/>
        </w:rPr>
      </w:r>
    </w:p>
    <w:p>
      <w:pPr>
        <w:pStyle w:val="BodyText"/>
        <w:spacing w:before="1"/>
        <w:ind w:left="0"/>
        <w:rPr>
          <w:sz w:val="13"/>
        </w:rPr>
      </w:pPr>
    </w:p>
    <w:p>
      <w:pPr>
        <w:spacing w:line="196" w:lineRule="exact" w:before="0"/>
        <w:ind w:left="159" w:right="0" w:firstLine="0"/>
        <w:jc w:val="left"/>
        <w:rPr>
          <w:sz w:val="15"/>
        </w:rPr>
      </w:pPr>
      <w:r>
        <w:rPr/>
        <w:pict>
          <v:shape style="position:absolute;margin-left:53.244251pt;margin-top:-8.811526pt;width:78.4pt;height:9.5pt;mso-position-horizontal-relative:page;mso-position-vertical-relative:paragraph;z-index:3640" type="#_x0000_t202" filled="true" fillcolor="#fde164" stroked="false">
            <v:textbox inset="0,0,0,0">
              <w:txbxContent>
                <w:p>
                  <w:pPr>
                    <w:spacing w:line="189" w:lineRule="exact" w:before="0"/>
                    <w:ind w:left="33" w:right="0" w:firstLine="0"/>
                    <w:jc w:val="left"/>
                    <w:rPr>
                      <w:sz w:val="15"/>
                    </w:rPr>
                  </w:pPr>
                  <w:r>
                    <w:rPr>
                      <w:i/>
                      <w:color w:val="231F20"/>
                      <w:sz w:val="15"/>
                    </w:rPr>
                    <w:t>Biomed. Eng. </w:t>
                  </w:r>
                  <w:r>
                    <w:rPr>
                      <w:color w:val="231F20"/>
                      <w:sz w:val="15"/>
                    </w:rPr>
                    <w:t>4, 201–208.</w:t>
                  </w:r>
                </w:p>
              </w:txbxContent>
            </v:textbox>
            <v:fill opacity="26214f" type="solid"/>
            <w10:wrap type="none"/>
          </v:shape>
        </w:pict>
      </w:r>
      <w:bookmarkStart w:name="_bookmark76" w:id="94"/>
      <w:bookmarkEnd w:id="94"/>
      <w:r>
        <w:rPr/>
      </w:r>
      <w:r>
        <w:rPr>
          <w:color w:val="231F20"/>
          <w:sz w:val="15"/>
        </w:rPr>
        <w:t>Polak, T., Markulin, F., Ehlis, A.-C., Langer, J. B. M., Ringel, T. M., and Fallgatter,</w:t>
      </w:r>
    </w:p>
    <w:p>
      <w:pPr>
        <w:spacing w:line="223" w:lineRule="auto" w:before="4"/>
        <w:ind w:left="358" w:right="0" w:firstLine="0"/>
        <w:jc w:val="both"/>
        <w:rPr>
          <w:sz w:val="15"/>
        </w:rPr>
      </w:pPr>
      <w:r>
        <w:rPr>
          <w:color w:val="231F20"/>
          <w:sz w:val="15"/>
        </w:rPr>
        <w:t>A. J. (2009). Far field  potentials  from  brain  stem  after  transcutaneous</w:t>
      </w:r>
      <w:r>
        <w:rPr>
          <w:color w:val="231F20"/>
          <w:spacing w:val="34"/>
          <w:sz w:val="15"/>
        </w:rPr>
        <w:t> </w:t>
      </w:r>
      <w:r>
        <w:rPr>
          <w:color w:val="231F20"/>
          <w:sz w:val="15"/>
        </w:rPr>
        <w:t>vagus</w:t>
      </w:r>
      <w:r>
        <w:rPr>
          <w:color w:val="231F20"/>
          <w:spacing w:val="34"/>
          <w:sz w:val="15"/>
        </w:rPr>
        <w:t> </w:t>
      </w:r>
      <w:r>
        <w:rPr>
          <w:color w:val="231F20"/>
          <w:sz w:val="15"/>
        </w:rPr>
        <w:t>nerve  stimulation:  optimization  of  stimulation  and  recording parameters. </w:t>
      </w:r>
      <w:r>
        <w:rPr>
          <w:i/>
          <w:color w:val="231F20"/>
          <w:sz w:val="15"/>
        </w:rPr>
        <w:t>J. Neural. Transm. </w:t>
      </w:r>
      <w:r>
        <w:rPr>
          <w:color w:val="231F20"/>
          <w:sz w:val="15"/>
        </w:rPr>
        <w:t>116, 1237–1242. </w:t>
      </w:r>
      <w:hyperlink r:id="rId106">
        <w:r>
          <w:rPr>
            <w:color w:val="231F20"/>
            <w:sz w:val="15"/>
          </w:rPr>
          <w:t>doi: 10.1007/s00702-009-</w:t>
        </w:r>
      </w:hyperlink>
      <w:bookmarkStart w:name="_bookmark77" w:id="95"/>
      <w:bookmarkEnd w:id="95"/>
      <w:r>
        <w:rPr>
          <w:color w:val="231F20"/>
          <w:sz w:val="15"/>
        </w:rPr>
      </w:r>
      <w:hyperlink r:id="rId106">
        <w:r>
          <w:rPr>
            <w:color w:val="231F20"/>
            <w:spacing w:val="34"/>
            <w:sz w:val="15"/>
          </w:rPr>
          <w:t> </w:t>
        </w:r>
        <w:r>
          <w:rPr>
            <w:color w:val="231F20"/>
            <w:sz w:val="15"/>
          </w:rPr>
          <w:t>0282-1</w:t>
        </w:r>
      </w:hyperlink>
    </w:p>
    <w:p>
      <w:pPr>
        <w:spacing w:line="223" w:lineRule="auto" w:before="3"/>
        <w:ind w:left="358" w:right="0" w:hanging="200"/>
        <w:jc w:val="both"/>
        <w:rPr>
          <w:sz w:val="15"/>
        </w:rPr>
      </w:pPr>
      <w:r>
        <w:rPr>
          <w:color w:val="231F20"/>
          <w:sz w:val="15"/>
        </w:rPr>
        <w:t>Raedt, R., Clinckers, R., Mollet, L., Vonck, K., Wyckhuys, T., De Herdt, V., et al. (2011). Increased hippocampal noradrenaline is a biomarker for efficacy of vagus nerve stimulation in a limbic seizure model. </w:t>
      </w:r>
      <w:r>
        <w:rPr>
          <w:i/>
          <w:color w:val="231F20"/>
          <w:sz w:val="15"/>
        </w:rPr>
        <w:t>J. Neurochem. </w:t>
      </w:r>
      <w:r>
        <w:rPr>
          <w:color w:val="231F20"/>
          <w:sz w:val="15"/>
        </w:rPr>
        <w:t>117, 461–469.</w:t>
      </w:r>
      <w:bookmarkStart w:name="_bookmark78" w:id="96"/>
      <w:bookmarkEnd w:id="96"/>
      <w:r>
        <w:rPr>
          <w:color w:val="231F20"/>
          <w:sz w:val="15"/>
        </w:rPr>
      </w:r>
      <w:r>
        <w:rPr>
          <w:color w:val="231F20"/>
          <w:sz w:val="15"/>
        </w:rPr>
        <w:t> </w:t>
      </w:r>
      <w:hyperlink r:id="rId107">
        <w:r>
          <w:rPr>
            <w:color w:val="231F20"/>
            <w:sz w:val="15"/>
          </w:rPr>
          <w:t>doi: 10.1111/j.1471-4159.2011.07214.x</w:t>
        </w:r>
      </w:hyperlink>
    </w:p>
    <w:p>
      <w:pPr>
        <w:spacing w:line="223" w:lineRule="auto" w:before="1"/>
        <w:ind w:left="358" w:right="0" w:hanging="200"/>
        <w:jc w:val="both"/>
        <w:rPr>
          <w:sz w:val="15"/>
        </w:rPr>
      </w:pPr>
      <w:r>
        <w:rPr>
          <w:color w:val="231F20"/>
          <w:sz w:val="15"/>
        </w:rPr>
        <w:t>Rattay,</w:t>
      </w:r>
      <w:r>
        <w:rPr>
          <w:color w:val="231F20"/>
          <w:spacing w:val="-5"/>
          <w:sz w:val="15"/>
        </w:rPr>
        <w:t> </w:t>
      </w:r>
      <w:r>
        <w:rPr>
          <w:color w:val="231F20"/>
          <w:sz w:val="15"/>
        </w:rPr>
        <w:t>F.</w:t>
      </w:r>
      <w:r>
        <w:rPr>
          <w:color w:val="231F20"/>
          <w:spacing w:val="-4"/>
          <w:sz w:val="15"/>
        </w:rPr>
        <w:t> </w:t>
      </w:r>
      <w:r>
        <w:rPr>
          <w:color w:val="231F20"/>
          <w:sz w:val="15"/>
        </w:rPr>
        <w:t>(1986).</w:t>
      </w:r>
      <w:r>
        <w:rPr>
          <w:color w:val="231F20"/>
          <w:spacing w:val="-4"/>
          <w:sz w:val="15"/>
        </w:rPr>
        <w:t> </w:t>
      </w:r>
      <w:r>
        <w:rPr>
          <w:color w:val="231F20"/>
          <w:sz w:val="15"/>
        </w:rPr>
        <w:t>Analysis</w:t>
      </w:r>
      <w:r>
        <w:rPr>
          <w:color w:val="231F20"/>
          <w:spacing w:val="-4"/>
          <w:sz w:val="15"/>
        </w:rPr>
        <w:t> </w:t>
      </w:r>
      <w:r>
        <w:rPr>
          <w:color w:val="231F20"/>
          <w:sz w:val="15"/>
        </w:rPr>
        <w:t>of</w:t>
      </w:r>
      <w:r>
        <w:rPr>
          <w:color w:val="231F20"/>
          <w:spacing w:val="-4"/>
          <w:sz w:val="15"/>
        </w:rPr>
        <w:t> </w:t>
      </w:r>
      <w:r>
        <w:rPr>
          <w:color w:val="231F20"/>
          <w:sz w:val="15"/>
        </w:rPr>
        <w:t>models</w:t>
      </w:r>
      <w:r>
        <w:rPr>
          <w:color w:val="231F20"/>
          <w:spacing w:val="-3"/>
          <w:sz w:val="15"/>
        </w:rPr>
        <w:t> </w:t>
      </w:r>
      <w:r>
        <w:rPr>
          <w:color w:val="231F20"/>
          <w:sz w:val="15"/>
        </w:rPr>
        <w:t>for</w:t>
      </w:r>
      <w:r>
        <w:rPr>
          <w:color w:val="231F20"/>
          <w:spacing w:val="-5"/>
          <w:sz w:val="15"/>
        </w:rPr>
        <w:t> </w:t>
      </w:r>
      <w:r>
        <w:rPr>
          <w:color w:val="231F20"/>
          <w:sz w:val="15"/>
        </w:rPr>
        <w:t>external</w:t>
      </w:r>
      <w:r>
        <w:rPr>
          <w:color w:val="231F20"/>
          <w:spacing w:val="-4"/>
          <w:sz w:val="15"/>
        </w:rPr>
        <w:t> </w:t>
      </w:r>
      <w:r>
        <w:rPr>
          <w:color w:val="231F20"/>
          <w:sz w:val="15"/>
        </w:rPr>
        <w:t>stimulation</w:t>
      </w:r>
      <w:r>
        <w:rPr>
          <w:color w:val="231F20"/>
          <w:spacing w:val="-4"/>
          <w:sz w:val="15"/>
        </w:rPr>
        <w:t> </w:t>
      </w:r>
      <w:r>
        <w:rPr>
          <w:color w:val="231F20"/>
          <w:sz w:val="15"/>
        </w:rPr>
        <w:t>of</w:t>
      </w:r>
      <w:r>
        <w:rPr>
          <w:color w:val="231F20"/>
          <w:spacing w:val="-4"/>
          <w:sz w:val="15"/>
        </w:rPr>
        <w:t> </w:t>
      </w:r>
      <w:r>
        <w:rPr>
          <w:color w:val="231F20"/>
          <w:sz w:val="15"/>
        </w:rPr>
        <w:t>axons.</w:t>
      </w:r>
      <w:r>
        <w:rPr>
          <w:color w:val="231F20"/>
          <w:spacing w:val="-4"/>
          <w:sz w:val="15"/>
        </w:rPr>
        <w:t> </w:t>
      </w:r>
      <w:r>
        <w:rPr>
          <w:i/>
          <w:color w:val="231F20"/>
          <w:sz w:val="15"/>
        </w:rPr>
        <w:t>IEEE</w:t>
      </w:r>
      <w:r>
        <w:rPr>
          <w:i/>
          <w:color w:val="231F20"/>
          <w:spacing w:val="-4"/>
          <w:sz w:val="15"/>
        </w:rPr>
        <w:t> </w:t>
      </w:r>
      <w:r>
        <w:rPr>
          <w:i/>
          <w:color w:val="231F20"/>
          <w:sz w:val="15"/>
        </w:rPr>
        <w:t>Trans.</w:t>
      </w:r>
      <w:bookmarkStart w:name="_bookmark79" w:id="97"/>
      <w:bookmarkEnd w:id="97"/>
      <w:r>
        <w:rPr>
          <w:i/>
          <w:color w:val="231F20"/>
          <w:sz w:val="15"/>
        </w:rPr>
      </w:r>
      <w:r>
        <w:rPr>
          <w:i/>
          <w:color w:val="231F20"/>
          <w:sz w:val="15"/>
        </w:rPr>
        <w:t> </w:t>
      </w:r>
      <w:r>
        <w:rPr>
          <w:i/>
          <w:color w:val="231F20"/>
          <w:sz w:val="15"/>
        </w:rPr>
        <w:t>Biomed. Eng. </w:t>
      </w:r>
      <w:hyperlink r:id="rId108">
        <w:r>
          <w:rPr>
            <w:color w:val="231F20"/>
            <w:sz w:val="15"/>
          </w:rPr>
          <w:t>33, 974–977. doi:</w:t>
        </w:r>
        <w:r>
          <w:rPr>
            <w:color w:val="231F20"/>
            <w:spacing w:val="-2"/>
            <w:sz w:val="15"/>
          </w:rPr>
          <w:t> </w:t>
        </w:r>
        <w:r>
          <w:rPr>
            <w:color w:val="231F20"/>
            <w:sz w:val="15"/>
          </w:rPr>
          <w:t>10.1109/TBME.1986.325670</w:t>
        </w:r>
      </w:hyperlink>
    </w:p>
    <w:p>
      <w:pPr>
        <w:spacing w:line="223" w:lineRule="auto" w:before="0"/>
        <w:ind w:left="358" w:right="0" w:hanging="200"/>
        <w:jc w:val="both"/>
        <w:rPr>
          <w:sz w:val="15"/>
        </w:rPr>
      </w:pPr>
      <w:r>
        <w:rPr>
          <w:color w:val="231F20"/>
          <w:sz w:val="15"/>
        </w:rPr>
        <w:t>Rattay, F.  (1990).  </w:t>
      </w:r>
      <w:r>
        <w:rPr>
          <w:i/>
          <w:color w:val="231F20"/>
          <w:sz w:val="15"/>
        </w:rPr>
        <w:t>Electrical Nerve Stimulation: Theory, Experiments and</w:t>
      </w:r>
      <w:bookmarkStart w:name="_bookmark80" w:id="98"/>
      <w:bookmarkEnd w:id="98"/>
      <w:r>
        <w:rPr>
          <w:i/>
          <w:color w:val="231F20"/>
          <w:sz w:val="15"/>
        </w:rPr>
      </w:r>
      <w:r>
        <w:rPr>
          <w:i/>
          <w:color w:val="231F20"/>
          <w:sz w:val="15"/>
        </w:rPr>
        <w:t> </w:t>
      </w:r>
      <w:r>
        <w:rPr>
          <w:i/>
          <w:color w:val="231F20"/>
          <w:sz w:val="15"/>
        </w:rPr>
        <w:t>Applications</w:t>
      </w:r>
      <w:r>
        <w:rPr>
          <w:color w:val="231F20"/>
          <w:sz w:val="15"/>
        </w:rPr>
        <w:t>. Berlin: Springer Publisher.</w:t>
      </w:r>
    </w:p>
    <w:p>
      <w:pPr>
        <w:spacing w:line="223" w:lineRule="auto" w:before="0"/>
        <w:ind w:left="358" w:right="0" w:hanging="200"/>
        <w:jc w:val="both"/>
        <w:rPr>
          <w:sz w:val="15"/>
        </w:rPr>
      </w:pPr>
      <w:r>
        <w:rPr>
          <w:color w:val="231F20"/>
          <w:sz w:val="15"/>
        </w:rPr>
        <w:t>Rattay, F. (1999). The basic mechanism for the electrical stimulation of the nervous system. </w:t>
      </w:r>
      <w:r>
        <w:rPr>
          <w:i/>
          <w:color w:val="231F20"/>
          <w:sz w:val="15"/>
        </w:rPr>
        <w:t>Neuroscience </w:t>
      </w:r>
      <w:r>
        <w:rPr>
          <w:color w:val="231F20"/>
          <w:sz w:val="15"/>
        </w:rPr>
        <w:t>89, 335–346. </w:t>
      </w:r>
      <w:hyperlink r:id="rId109">
        <w:r>
          <w:rPr>
            <w:color w:val="231F20"/>
            <w:sz w:val="15"/>
          </w:rPr>
          <w:t>doi: 10.1016/s0306-4522(98)</w:t>
        </w:r>
      </w:hyperlink>
      <w:bookmarkStart w:name="_bookmark81" w:id="99"/>
      <w:bookmarkEnd w:id="99"/>
      <w:r>
        <w:rPr>
          <w:color w:val="231F20"/>
          <w:sz w:val="15"/>
        </w:rPr>
      </w:r>
      <w:r>
        <w:rPr>
          <w:color w:val="231F20"/>
          <w:sz w:val="15"/>
        </w:rPr>
        <w:t> </w:t>
      </w:r>
      <w:hyperlink r:id="rId109">
        <w:r>
          <w:rPr>
            <w:color w:val="231F20"/>
            <w:sz w:val="15"/>
          </w:rPr>
          <w:t>00330-3</w:t>
        </w:r>
      </w:hyperlink>
    </w:p>
    <w:p>
      <w:pPr>
        <w:spacing w:line="223" w:lineRule="auto" w:before="0"/>
        <w:ind w:left="358" w:right="0" w:hanging="200"/>
        <w:jc w:val="both"/>
        <w:rPr>
          <w:sz w:val="15"/>
        </w:rPr>
      </w:pPr>
      <w:r>
        <w:rPr>
          <w:color w:val="231F20"/>
          <w:sz w:val="15"/>
        </w:rPr>
        <w:t>Ravan,</w:t>
      </w:r>
      <w:r>
        <w:rPr>
          <w:color w:val="231F20"/>
          <w:spacing w:val="-3"/>
          <w:sz w:val="15"/>
        </w:rPr>
        <w:t> </w:t>
      </w:r>
      <w:r>
        <w:rPr>
          <w:color w:val="231F20"/>
          <w:sz w:val="15"/>
        </w:rPr>
        <w:t>M.,</w:t>
      </w:r>
      <w:r>
        <w:rPr>
          <w:color w:val="231F20"/>
          <w:spacing w:val="-3"/>
          <w:sz w:val="15"/>
        </w:rPr>
        <w:t> </w:t>
      </w:r>
      <w:r>
        <w:rPr>
          <w:color w:val="231F20"/>
          <w:sz w:val="15"/>
        </w:rPr>
        <w:t>Sabesan,</w:t>
      </w:r>
      <w:r>
        <w:rPr>
          <w:color w:val="231F20"/>
          <w:spacing w:val="-3"/>
          <w:sz w:val="15"/>
        </w:rPr>
        <w:t> </w:t>
      </w:r>
      <w:r>
        <w:rPr>
          <w:color w:val="231F20"/>
          <w:sz w:val="15"/>
        </w:rPr>
        <w:t>S.,</w:t>
      </w:r>
      <w:r>
        <w:rPr>
          <w:color w:val="231F20"/>
          <w:spacing w:val="-3"/>
          <w:sz w:val="15"/>
        </w:rPr>
        <w:t> </w:t>
      </w:r>
      <w:r>
        <w:rPr>
          <w:color w:val="231F20"/>
          <w:sz w:val="15"/>
        </w:rPr>
        <w:t>and</w:t>
      </w:r>
      <w:r>
        <w:rPr>
          <w:color w:val="231F20"/>
          <w:spacing w:val="-3"/>
          <w:sz w:val="15"/>
        </w:rPr>
        <w:t> </w:t>
      </w:r>
      <w:r>
        <w:rPr>
          <w:color w:val="231F20"/>
          <w:sz w:val="15"/>
        </w:rPr>
        <w:t>D’Cruz,</w:t>
      </w:r>
      <w:r>
        <w:rPr>
          <w:color w:val="231F20"/>
          <w:spacing w:val="-3"/>
          <w:sz w:val="15"/>
        </w:rPr>
        <w:t> </w:t>
      </w:r>
      <w:r>
        <w:rPr>
          <w:color w:val="231F20"/>
          <w:sz w:val="15"/>
        </w:rPr>
        <w:t>O.</w:t>
      </w:r>
      <w:r>
        <w:rPr>
          <w:color w:val="231F20"/>
          <w:spacing w:val="-3"/>
          <w:sz w:val="15"/>
        </w:rPr>
        <w:t> </w:t>
      </w:r>
      <w:r>
        <w:rPr>
          <w:color w:val="231F20"/>
          <w:sz w:val="15"/>
        </w:rPr>
        <w:t>(2017).</w:t>
      </w:r>
      <w:r>
        <w:rPr>
          <w:color w:val="231F20"/>
          <w:spacing w:val="-3"/>
          <w:sz w:val="15"/>
        </w:rPr>
        <w:t> </w:t>
      </w:r>
      <w:r>
        <w:rPr>
          <w:color w:val="231F20"/>
          <w:sz w:val="15"/>
        </w:rPr>
        <w:t>On</w:t>
      </w:r>
      <w:r>
        <w:rPr>
          <w:color w:val="231F20"/>
          <w:spacing w:val="-3"/>
          <w:sz w:val="15"/>
        </w:rPr>
        <w:t> </w:t>
      </w:r>
      <w:r>
        <w:rPr>
          <w:color w:val="231F20"/>
          <w:sz w:val="15"/>
        </w:rPr>
        <w:t>quantitative</w:t>
      </w:r>
      <w:r>
        <w:rPr>
          <w:color w:val="231F20"/>
          <w:spacing w:val="-3"/>
          <w:sz w:val="15"/>
        </w:rPr>
        <w:t> </w:t>
      </w:r>
      <w:r>
        <w:rPr>
          <w:color w:val="231F20"/>
          <w:sz w:val="15"/>
        </w:rPr>
        <w:t>biomarkers</w:t>
      </w:r>
      <w:r>
        <w:rPr>
          <w:color w:val="231F20"/>
          <w:spacing w:val="-3"/>
          <w:sz w:val="15"/>
        </w:rPr>
        <w:t> </w:t>
      </w:r>
      <w:r>
        <w:rPr>
          <w:color w:val="231F20"/>
          <w:sz w:val="15"/>
        </w:rPr>
        <w:t>of</w:t>
      </w:r>
      <w:r>
        <w:rPr>
          <w:color w:val="231F20"/>
          <w:spacing w:val="-3"/>
          <w:sz w:val="15"/>
        </w:rPr>
        <w:t> </w:t>
      </w:r>
      <w:r>
        <w:rPr>
          <w:color w:val="231F20"/>
          <w:sz w:val="15"/>
        </w:rPr>
        <w:t>VNS therapy using EEG and ECG signals. </w:t>
      </w:r>
      <w:r>
        <w:rPr>
          <w:i/>
          <w:color w:val="231F20"/>
          <w:sz w:val="15"/>
        </w:rPr>
        <w:t>IEEE Trans. Biomed. Eng. </w:t>
      </w:r>
      <w:r>
        <w:rPr>
          <w:color w:val="231F20"/>
          <w:sz w:val="15"/>
        </w:rPr>
        <w:t>64, 419–428.</w:t>
      </w:r>
      <w:bookmarkStart w:name="_bookmark82" w:id="100"/>
      <w:bookmarkEnd w:id="100"/>
      <w:r>
        <w:rPr>
          <w:color w:val="231F20"/>
          <w:sz w:val="15"/>
        </w:rPr>
      </w:r>
      <w:r>
        <w:rPr>
          <w:color w:val="231F20"/>
          <w:sz w:val="15"/>
        </w:rPr>
        <w:t> </w:t>
      </w:r>
      <w:hyperlink r:id="rId110">
        <w:r>
          <w:rPr>
            <w:color w:val="231F20"/>
            <w:sz w:val="15"/>
          </w:rPr>
          <w:t>doi: 10.1109/TBME.2016.2554559</w:t>
        </w:r>
      </w:hyperlink>
    </w:p>
    <w:p>
      <w:pPr>
        <w:spacing w:line="223" w:lineRule="auto" w:before="2"/>
        <w:ind w:left="358" w:right="0" w:hanging="200"/>
        <w:jc w:val="both"/>
        <w:rPr>
          <w:sz w:val="15"/>
        </w:rPr>
      </w:pPr>
      <w:r>
        <w:rPr>
          <w:color w:val="231F20"/>
          <w:sz w:val="15"/>
        </w:rPr>
        <w:t>Razlighi, B. D., Kampusch, S., Geyer, S. H., Le, H., Thürk, F., Brenner, S., et al. (2018). “In-Silico Ear Model Based on Episcopic Images for Percutaneous Auricular Vagus Nerve Stimulation,” in </w:t>
      </w:r>
      <w:r>
        <w:rPr>
          <w:i/>
          <w:color w:val="231F20"/>
          <w:sz w:val="15"/>
        </w:rPr>
        <w:t>proceedings of the EMF-Med 1st World </w:t>
      </w:r>
      <w:r>
        <w:rPr>
          <w:i/>
          <w:color w:val="231F20"/>
          <w:sz w:val="15"/>
        </w:rPr>
        <w:t>Conference on Biomedical Applications of Electromagnetic Fields (EMF-Med) 2018</w:t>
      </w:r>
      <w:r>
        <w:rPr>
          <w:color w:val="231F20"/>
          <w:sz w:val="15"/>
        </w:rPr>
        <w:t>, (Split: FESB, University of Split), 1–2. </w:t>
      </w:r>
      <w:hyperlink r:id="rId111">
        <w:r>
          <w:rPr>
            <w:color w:val="231F20"/>
            <w:sz w:val="15"/>
          </w:rPr>
          <w:t>doi: 10.23919/emf-med.2018.</w:t>
        </w:r>
      </w:hyperlink>
      <w:bookmarkStart w:name="_bookmark83" w:id="101"/>
      <w:bookmarkEnd w:id="101"/>
      <w:r>
        <w:rPr>
          <w:color w:val="231F20"/>
          <w:sz w:val="15"/>
        </w:rPr>
      </w:r>
      <w:r>
        <w:rPr>
          <w:color w:val="231F20"/>
          <w:sz w:val="15"/>
        </w:rPr>
        <w:t> </w:t>
      </w:r>
      <w:hyperlink r:id="rId111">
        <w:r>
          <w:rPr>
            <w:color w:val="231F20"/>
            <w:sz w:val="15"/>
          </w:rPr>
          <w:t>8526013</w:t>
        </w:r>
      </w:hyperlink>
    </w:p>
    <w:p>
      <w:pPr>
        <w:spacing w:line="223" w:lineRule="auto" w:before="0"/>
        <w:ind w:left="358" w:right="0" w:hanging="200"/>
        <w:jc w:val="both"/>
        <w:rPr>
          <w:sz w:val="15"/>
        </w:rPr>
      </w:pPr>
      <w:r>
        <w:rPr>
          <w:color w:val="231F20"/>
          <w:sz w:val="15"/>
        </w:rPr>
        <w:t>Reilly, J. P., and Diamant, A. M. (2011). </w:t>
      </w:r>
      <w:r>
        <w:rPr>
          <w:i/>
          <w:color w:val="231F20"/>
          <w:sz w:val="15"/>
        </w:rPr>
        <w:t>Electrostimulation: Theory, Applications,</w:t>
      </w:r>
      <w:bookmarkStart w:name="_bookmark84" w:id="102"/>
      <w:bookmarkEnd w:id="102"/>
      <w:r>
        <w:rPr>
          <w:i/>
          <w:color w:val="231F20"/>
          <w:sz w:val="15"/>
        </w:rPr>
      </w:r>
      <w:r>
        <w:rPr>
          <w:i/>
          <w:color w:val="231F20"/>
          <w:sz w:val="15"/>
        </w:rPr>
        <w:t> </w:t>
      </w:r>
      <w:r>
        <w:rPr>
          <w:i/>
          <w:color w:val="231F20"/>
          <w:sz w:val="15"/>
        </w:rPr>
        <w:t>and Computational Model</w:t>
      </w:r>
      <w:r>
        <w:rPr>
          <w:color w:val="231F20"/>
          <w:sz w:val="15"/>
        </w:rPr>
        <w:t>. London: Artech House Publisher.</w:t>
      </w:r>
    </w:p>
    <w:p>
      <w:pPr>
        <w:spacing w:line="223" w:lineRule="auto" w:before="0"/>
        <w:ind w:left="358" w:right="0" w:hanging="200"/>
        <w:jc w:val="both"/>
        <w:rPr>
          <w:sz w:val="15"/>
        </w:rPr>
      </w:pPr>
      <w:r>
        <w:rPr>
          <w:color w:val="231F20"/>
          <w:sz w:val="15"/>
        </w:rPr>
        <w:t>Roberts, A., Sithole, A., Sedghi, M., Walker, C. A., and Quinn, T. M. (2016). Minimal adverse  effects  profile  following  implantation  of  periauricular percutaneous electrical nerve field stimulators: a retrospective cohort study.</w:t>
      </w:r>
      <w:bookmarkStart w:name="_bookmark85" w:id="103"/>
      <w:bookmarkEnd w:id="103"/>
      <w:r>
        <w:rPr>
          <w:color w:val="231F20"/>
          <w:sz w:val="15"/>
        </w:rPr>
      </w:r>
      <w:r>
        <w:rPr>
          <w:color w:val="231F20"/>
          <w:sz w:val="15"/>
        </w:rPr>
        <w:t> </w:t>
      </w:r>
      <w:r>
        <w:rPr>
          <w:i/>
          <w:color w:val="231F20"/>
          <w:sz w:val="15"/>
        </w:rPr>
        <w:t>Med. Devices </w:t>
      </w:r>
      <w:hyperlink r:id="rId112">
        <w:r>
          <w:rPr>
            <w:color w:val="231F20"/>
            <w:sz w:val="15"/>
          </w:rPr>
          <w:t>9, 389–393. doi: 10.2147/MDER.S107426</w:t>
        </w:r>
      </w:hyperlink>
    </w:p>
    <w:p>
      <w:pPr>
        <w:spacing w:line="223" w:lineRule="auto" w:before="2"/>
        <w:ind w:left="358" w:right="0" w:hanging="200"/>
        <w:jc w:val="both"/>
        <w:rPr>
          <w:sz w:val="15"/>
        </w:rPr>
      </w:pPr>
      <w:r>
        <w:rPr>
          <w:color w:val="231F20"/>
          <w:sz w:val="15"/>
        </w:rPr>
        <w:t>Romero-Ugalde, H. M., Le Rolle, V., Bonnet, J.-L., Henry, C., Mabo, P., Carrault, G., et al. (2017). Closed-loop vagus nerve stimulation based on state transition models. </w:t>
      </w:r>
      <w:r>
        <w:rPr>
          <w:i/>
          <w:color w:val="231F20"/>
          <w:sz w:val="15"/>
        </w:rPr>
        <w:t>IEEE Trans. Biomed. Eng. </w:t>
      </w:r>
      <w:r>
        <w:rPr>
          <w:color w:val="231F20"/>
          <w:sz w:val="15"/>
        </w:rPr>
        <w:t>65, 1630–1638. </w:t>
      </w:r>
      <w:hyperlink r:id="rId113">
        <w:r>
          <w:rPr>
            <w:color w:val="231F20"/>
            <w:sz w:val="15"/>
          </w:rPr>
          <w:t>doi: 10.1109/TBME.2017.</w:t>
        </w:r>
      </w:hyperlink>
      <w:bookmarkStart w:name="_bookmark86" w:id="104"/>
      <w:bookmarkEnd w:id="104"/>
      <w:r>
        <w:rPr>
          <w:color w:val="231F20"/>
          <w:sz w:val="15"/>
        </w:rPr>
      </w:r>
      <w:r>
        <w:rPr>
          <w:color w:val="231F20"/>
          <w:sz w:val="15"/>
        </w:rPr>
        <w:t> </w:t>
      </w:r>
      <w:hyperlink r:id="rId113">
        <w:r>
          <w:rPr>
            <w:color w:val="231F20"/>
            <w:sz w:val="15"/>
          </w:rPr>
          <w:t>2759667</w:t>
        </w:r>
      </w:hyperlink>
    </w:p>
    <w:p>
      <w:pPr>
        <w:spacing w:line="223" w:lineRule="auto" w:before="3"/>
        <w:ind w:left="358" w:right="0" w:hanging="200"/>
        <w:jc w:val="both"/>
        <w:rPr>
          <w:sz w:val="15"/>
        </w:rPr>
      </w:pPr>
      <w:r>
        <w:rPr>
          <w:color w:val="231F20"/>
          <w:sz w:val="15"/>
        </w:rPr>
        <w:t>Romero-Ugalde, H. M., Ojeda, D., Le Rolle, V., Andreu, D., Guiraud, D., Bonnet, J.-L., et al. (2015). Model-based design and experimental validation of control modules for neuromodulation devices. </w:t>
      </w:r>
      <w:r>
        <w:rPr>
          <w:i/>
          <w:color w:val="231F20"/>
          <w:sz w:val="15"/>
        </w:rPr>
        <w:t>IEEE Trans. Biomed. Eng. </w:t>
      </w:r>
      <w:r>
        <w:rPr>
          <w:color w:val="231F20"/>
          <w:sz w:val="15"/>
        </w:rPr>
        <w:t>63, 1551–</w:t>
      </w:r>
      <w:bookmarkStart w:name="_bookmark87" w:id="105"/>
      <w:bookmarkEnd w:id="105"/>
      <w:r>
        <w:rPr>
          <w:color w:val="231F20"/>
          <w:sz w:val="15"/>
        </w:rPr>
      </w:r>
      <w:r>
        <w:rPr>
          <w:color w:val="231F20"/>
          <w:sz w:val="15"/>
        </w:rPr>
        <w:t> </w:t>
      </w:r>
      <w:hyperlink r:id="rId114">
        <w:r>
          <w:rPr>
            <w:color w:val="231F20"/>
            <w:sz w:val="15"/>
          </w:rPr>
          <w:t>1558. doi: 10.1109/TBME.2015.2498878</w:t>
        </w:r>
      </w:hyperlink>
    </w:p>
    <w:p>
      <w:pPr>
        <w:spacing w:line="223" w:lineRule="auto" w:before="2"/>
        <w:ind w:left="358" w:right="0" w:hanging="200"/>
        <w:jc w:val="both"/>
        <w:rPr>
          <w:sz w:val="15"/>
        </w:rPr>
      </w:pPr>
      <w:r>
        <w:rPr>
          <w:color w:val="231F20"/>
          <w:sz w:val="15"/>
        </w:rPr>
        <w:t>Safi, S., Ellrich, J., and Neuhuber, W. (2016). Myelinated axons in the auricular branch of the human vagus nerve. </w:t>
      </w:r>
      <w:r>
        <w:rPr>
          <w:i/>
          <w:color w:val="231F20"/>
          <w:sz w:val="15"/>
        </w:rPr>
        <w:t>Anat. Rec. </w:t>
      </w:r>
      <w:r>
        <w:rPr>
          <w:color w:val="231F20"/>
          <w:sz w:val="15"/>
        </w:rPr>
        <w:t>299, 1184–1191. </w:t>
      </w:r>
      <w:hyperlink r:id="rId115">
        <w:r>
          <w:rPr>
            <w:color w:val="231F20"/>
            <w:sz w:val="15"/>
          </w:rPr>
          <w:t>doi: 10.1002/ar.</w:t>
        </w:r>
      </w:hyperlink>
      <w:bookmarkStart w:name="_bookmark88" w:id="106"/>
      <w:bookmarkEnd w:id="106"/>
      <w:r>
        <w:rPr>
          <w:color w:val="231F20"/>
          <w:sz w:val="15"/>
        </w:rPr>
      </w:r>
      <w:r>
        <w:rPr>
          <w:color w:val="231F20"/>
          <w:sz w:val="15"/>
        </w:rPr>
        <w:t> </w:t>
      </w:r>
      <w:hyperlink r:id="rId115">
        <w:r>
          <w:rPr>
            <w:color w:val="231F20"/>
            <w:sz w:val="15"/>
          </w:rPr>
          <w:t>23391</w:t>
        </w:r>
      </w:hyperlink>
    </w:p>
    <w:p>
      <w:pPr>
        <w:spacing w:line="223" w:lineRule="auto" w:before="2"/>
        <w:ind w:left="358" w:right="0" w:hanging="200"/>
        <w:jc w:val="both"/>
        <w:rPr>
          <w:sz w:val="15"/>
        </w:rPr>
      </w:pPr>
      <w:r>
        <w:rPr>
          <w:color w:val="231F20"/>
          <w:sz w:val="15"/>
        </w:rPr>
        <w:t>Salam,</w:t>
      </w:r>
      <w:r>
        <w:rPr>
          <w:color w:val="231F20"/>
          <w:spacing w:val="-4"/>
          <w:sz w:val="15"/>
        </w:rPr>
        <w:t> </w:t>
      </w:r>
      <w:r>
        <w:rPr>
          <w:color w:val="231F20"/>
          <w:sz w:val="15"/>
        </w:rPr>
        <w:t>M.</w:t>
      </w:r>
      <w:r>
        <w:rPr>
          <w:color w:val="231F20"/>
          <w:spacing w:val="-4"/>
          <w:sz w:val="15"/>
        </w:rPr>
        <w:t> </w:t>
      </w:r>
      <w:r>
        <w:rPr>
          <w:color w:val="231F20"/>
          <w:sz w:val="15"/>
        </w:rPr>
        <w:t>T.,</w:t>
      </w:r>
      <w:r>
        <w:rPr>
          <w:color w:val="231F20"/>
          <w:spacing w:val="-4"/>
          <w:sz w:val="15"/>
        </w:rPr>
        <w:t> </w:t>
      </w:r>
      <w:r>
        <w:rPr>
          <w:color w:val="231F20"/>
          <w:sz w:val="15"/>
        </w:rPr>
        <w:t>Velazquez,</w:t>
      </w:r>
      <w:r>
        <w:rPr>
          <w:color w:val="231F20"/>
          <w:spacing w:val="-4"/>
          <w:sz w:val="15"/>
        </w:rPr>
        <w:t> </w:t>
      </w:r>
      <w:r>
        <w:rPr>
          <w:color w:val="231F20"/>
          <w:sz w:val="15"/>
        </w:rPr>
        <w:t>J.</w:t>
      </w:r>
      <w:r>
        <w:rPr>
          <w:color w:val="231F20"/>
          <w:spacing w:val="-4"/>
          <w:sz w:val="15"/>
        </w:rPr>
        <w:t> </w:t>
      </w:r>
      <w:r>
        <w:rPr>
          <w:color w:val="231F20"/>
          <w:sz w:val="15"/>
        </w:rPr>
        <w:t>L.</w:t>
      </w:r>
      <w:r>
        <w:rPr>
          <w:color w:val="231F20"/>
          <w:spacing w:val="-4"/>
          <w:sz w:val="15"/>
        </w:rPr>
        <w:t> </w:t>
      </w:r>
      <w:r>
        <w:rPr>
          <w:color w:val="231F20"/>
          <w:sz w:val="15"/>
        </w:rPr>
        <w:t>P.,</w:t>
      </w:r>
      <w:r>
        <w:rPr>
          <w:color w:val="231F20"/>
          <w:spacing w:val="-4"/>
          <w:sz w:val="15"/>
        </w:rPr>
        <w:t> </w:t>
      </w:r>
      <w:r>
        <w:rPr>
          <w:color w:val="231F20"/>
          <w:sz w:val="15"/>
        </w:rPr>
        <w:t>and</w:t>
      </w:r>
      <w:r>
        <w:rPr>
          <w:color w:val="231F20"/>
          <w:spacing w:val="-4"/>
          <w:sz w:val="15"/>
        </w:rPr>
        <w:t> </w:t>
      </w:r>
      <w:r>
        <w:rPr>
          <w:color w:val="231F20"/>
          <w:sz w:val="15"/>
        </w:rPr>
        <w:t>Genov,</w:t>
      </w:r>
      <w:r>
        <w:rPr>
          <w:color w:val="231F20"/>
          <w:spacing w:val="-4"/>
          <w:sz w:val="15"/>
        </w:rPr>
        <w:t> </w:t>
      </w:r>
      <w:r>
        <w:rPr>
          <w:color w:val="231F20"/>
          <w:sz w:val="15"/>
        </w:rPr>
        <w:t>R.</w:t>
      </w:r>
      <w:r>
        <w:rPr>
          <w:color w:val="231F20"/>
          <w:spacing w:val="-4"/>
          <w:sz w:val="15"/>
        </w:rPr>
        <w:t> </w:t>
      </w:r>
      <w:r>
        <w:rPr>
          <w:color w:val="231F20"/>
          <w:sz w:val="15"/>
        </w:rPr>
        <w:t>(2015).</w:t>
      </w:r>
      <w:r>
        <w:rPr>
          <w:color w:val="231F20"/>
          <w:spacing w:val="-4"/>
          <w:sz w:val="15"/>
        </w:rPr>
        <w:t> </w:t>
      </w:r>
      <w:r>
        <w:rPr>
          <w:color w:val="231F20"/>
          <w:sz w:val="15"/>
        </w:rPr>
        <w:t>Seizure</w:t>
      </w:r>
      <w:r>
        <w:rPr>
          <w:color w:val="231F20"/>
          <w:spacing w:val="-4"/>
          <w:sz w:val="15"/>
        </w:rPr>
        <w:t> </w:t>
      </w:r>
      <w:r>
        <w:rPr>
          <w:color w:val="231F20"/>
          <w:sz w:val="15"/>
        </w:rPr>
        <w:t>suppression</w:t>
      </w:r>
      <w:r>
        <w:rPr>
          <w:color w:val="231F20"/>
          <w:spacing w:val="-4"/>
          <w:sz w:val="15"/>
        </w:rPr>
        <w:t> </w:t>
      </w:r>
      <w:r>
        <w:rPr>
          <w:color w:val="231F20"/>
          <w:spacing w:val="-3"/>
          <w:sz w:val="15"/>
        </w:rPr>
        <w:t>efficacy </w:t>
      </w:r>
      <w:r>
        <w:rPr>
          <w:color w:val="231F20"/>
          <w:sz w:val="15"/>
        </w:rPr>
        <w:t>of closed-loop versus open-loop deep brain stimulation in a rodent model </w:t>
      </w:r>
      <w:r>
        <w:rPr>
          <w:color w:val="231F20"/>
          <w:spacing w:val="-8"/>
          <w:sz w:val="15"/>
        </w:rPr>
        <w:t>of </w:t>
      </w:r>
      <w:r>
        <w:rPr>
          <w:color w:val="231F20"/>
          <w:sz w:val="15"/>
        </w:rPr>
        <w:t>Epilepsy. </w:t>
      </w:r>
      <w:r>
        <w:rPr>
          <w:i/>
          <w:color w:val="231F20"/>
          <w:sz w:val="15"/>
        </w:rPr>
        <w:t>IEEE Trans. Neural. Syst. Rehabil. Eng. </w:t>
      </w:r>
      <w:r>
        <w:rPr>
          <w:color w:val="231F20"/>
          <w:sz w:val="15"/>
        </w:rPr>
        <w:t>24, 710–719. </w:t>
      </w:r>
      <w:hyperlink r:id="rId116">
        <w:r>
          <w:rPr>
            <w:color w:val="231F20"/>
            <w:sz w:val="15"/>
          </w:rPr>
          <w:t>doi: 10.1109/</w:t>
        </w:r>
      </w:hyperlink>
      <w:bookmarkStart w:name="_bookmark89" w:id="107"/>
      <w:bookmarkEnd w:id="107"/>
      <w:r>
        <w:rPr>
          <w:color w:val="231F20"/>
          <w:sz w:val="15"/>
        </w:rPr>
      </w:r>
      <w:r>
        <w:rPr>
          <w:color w:val="231F20"/>
          <w:sz w:val="15"/>
        </w:rPr>
        <w:t> </w:t>
      </w:r>
      <w:hyperlink r:id="rId116">
        <w:r>
          <w:rPr>
            <w:color w:val="231F20"/>
            <w:sz w:val="15"/>
          </w:rPr>
          <w:t>TNSRE.2015.2498973</w:t>
        </w:r>
      </w:hyperlink>
    </w:p>
    <w:p>
      <w:pPr>
        <w:spacing w:line="223" w:lineRule="auto" w:before="2"/>
        <w:ind w:left="358" w:right="0" w:hanging="200"/>
        <w:jc w:val="both"/>
        <w:rPr>
          <w:sz w:val="15"/>
        </w:rPr>
      </w:pPr>
      <w:r>
        <w:rPr>
          <w:color w:val="231F20"/>
          <w:sz w:val="15"/>
        </w:rPr>
        <w:t>Samoudi, A., Kampusch, S., Tanghe, E., Szeles, C., Martens, L., Kaniusas, E., et al. (2019). Sensitivity analysis of a numerical model for percutaneous auricular vagus nerve stimulation. </w:t>
      </w:r>
      <w:r>
        <w:rPr>
          <w:i/>
          <w:color w:val="231F20"/>
          <w:sz w:val="15"/>
        </w:rPr>
        <w:t>Appl. Sci. </w:t>
      </w:r>
      <w:hyperlink r:id="rId117">
        <w:r>
          <w:rPr>
            <w:color w:val="231F20"/>
            <w:sz w:val="15"/>
          </w:rPr>
          <w:t>9, 540–553. doi: 10.3390/app9030540</w:t>
        </w:r>
      </w:hyperlink>
    </w:p>
    <w:p>
      <w:pPr>
        <w:spacing w:line="223" w:lineRule="auto" w:before="100"/>
        <w:ind w:left="358" w:right="155" w:hanging="200"/>
        <w:jc w:val="both"/>
        <w:rPr>
          <w:sz w:val="15"/>
        </w:rPr>
      </w:pPr>
      <w:r>
        <w:rPr/>
        <w:br w:type="column"/>
      </w:r>
      <w:bookmarkStart w:name="_bookmark91" w:id="108"/>
      <w:bookmarkEnd w:id="108"/>
      <w:r>
        <w:rPr/>
      </w:r>
      <w:r>
        <w:rPr>
          <w:color w:val="231F20"/>
          <w:sz w:val="15"/>
        </w:rPr>
        <w:t>Samoudi,</w:t>
      </w:r>
      <w:r>
        <w:rPr>
          <w:color w:val="231F20"/>
          <w:spacing w:val="-9"/>
          <w:sz w:val="15"/>
        </w:rPr>
        <w:t> </w:t>
      </w:r>
      <w:r>
        <w:rPr>
          <w:color w:val="231F20"/>
          <w:sz w:val="15"/>
        </w:rPr>
        <w:t>A.</w:t>
      </w:r>
      <w:r>
        <w:rPr>
          <w:color w:val="231F20"/>
          <w:spacing w:val="-8"/>
          <w:sz w:val="15"/>
        </w:rPr>
        <w:t> </w:t>
      </w:r>
      <w:r>
        <w:rPr>
          <w:color w:val="231F20"/>
          <w:sz w:val="15"/>
        </w:rPr>
        <w:t>M.,</w:t>
      </w:r>
      <w:r>
        <w:rPr>
          <w:color w:val="231F20"/>
          <w:spacing w:val="-8"/>
          <w:sz w:val="15"/>
        </w:rPr>
        <w:t> </w:t>
      </w:r>
      <w:r>
        <w:rPr>
          <w:color w:val="231F20"/>
          <w:sz w:val="15"/>
        </w:rPr>
        <w:t>Kampusch,</w:t>
      </w:r>
      <w:r>
        <w:rPr>
          <w:color w:val="231F20"/>
          <w:spacing w:val="-8"/>
          <w:sz w:val="15"/>
        </w:rPr>
        <w:t> </w:t>
      </w:r>
      <w:r>
        <w:rPr>
          <w:color w:val="231F20"/>
          <w:sz w:val="15"/>
        </w:rPr>
        <w:t>S.,</w:t>
      </w:r>
      <w:r>
        <w:rPr>
          <w:color w:val="231F20"/>
          <w:spacing w:val="-9"/>
          <w:sz w:val="15"/>
        </w:rPr>
        <w:t> </w:t>
      </w:r>
      <w:r>
        <w:rPr>
          <w:color w:val="231F20"/>
          <w:spacing w:val="-3"/>
          <w:sz w:val="15"/>
        </w:rPr>
        <w:t>Tanghe,</w:t>
      </w:r>
      <w:r>
        <w:rPr>
          <w:color w:val="231F20"/>
          <w:spacing w:val="-8"/>
          <w:sz w:val="15"/>
        </w:rPr>
        <w:t> </w:t>
      </w:r>
      <w:r>
        <w:rPr>
          <w:color w:val="231F20"/>
          <w:sz w:val="15"/>
        </w:rPr>
        <w:t>E.,</w:t>
      </w:r>
      <w:r>
        <w:rPr>
          <w:color w:val="231F20"/>
          <w:spacing w:val="-8"/>
          <w:sz w:val="15"/>
        </w:rPr>
        <w:t> </w:t>
      </w:r>
      <w:r>
        <w:rPr>
          <w:color w:val="231F20"/>
          <w:sz w:val="15"/>
        </w:rPr>
        <w:t>Szeles,</w:t>
      </w:r>
      <w:r>
        <w:rPr>
          <w:color w:val="231F20"/>
          <w:spacing w:val="-8"/>
          <w:sz w:val="15"/>
        </w:rPr>
        <w:t> </w:t>
      </w:r>
      <w:r>
        <w:rPr>
          <w:color w:val="231F20"/>
          <w:sz w:val="15"/>
        </w:rPr>
        <w:t>C.,</w:t>
      </w:r>
      <w:r>
        <w:rPr>
          <w:color w:val="231F20"/>
          <w:spacing w:val="-8"/>
          <w:sz w:val="15"/>
        </w:rPr>
        <w:t> </w:t>
      </w:r>
      <w:r>
        <w:rPr>
          <w:color w:val="231F20"/>
          <w:sz w:val="15"/>
        </w:rPr>
        <w:t>Martens,</w:t>
      </w:r>
      <w:r>
        <w:rPr>
          <w:color w:val="231F20"/>
          <w:spacing w:val="-9"/>
          <w:sz w:val="15"/>
        </w:rPr>
        <w:t> </w:t>
      </w:r>
      <w:r>
        <w:rPr>
          <w:color w:val="231F20"/>
          <w:sz w:val="15"/>
        </w:rPr>
        <w:t>L.,</w:t>
      </w:r>
      <w:r>
        <w:rPr>
          <w:color w:val="231F20"/>
          <w:spacing w:val="-8"/>
          <w:sz w:val="15"/>
        </w:rPr>
        <w:t> </w:t>
      </w:r>
      <w:r>
        <w:rPr>
          <w:color w:val="231F20"/>
          <w:sz w:val="15"/>
        </w:rPr>
        <w:t>Kaniusas,</w:t>
      </w:r>
      <w:r>
        <w:rPr>
          <w:color w:val="231F20"/>
          <w:spacing w:val="-8"/>
          <w:sz w:val="15"/>
        </w:rPr>
        <w:t> </w:t>
      </w:r>
      <w:r>
        <w:rPr>
          <w:color w:val="231F20"/>
          <w:sz w:val="15"/>
        </w:rPr>
        <w:t>E.,</w:t>
      </w:r>
      <w:r>
        <w:rPr>
          <w:color w:val="231F20"/>
          <w:spacing w:val="-8"/>
          <w:sz w:val="15"/>
        </w:rPr>
        <w:t> </w:t>
      </w:r>
      <w:r>
        <w:rPr>
          <w:color w:val="231F20"/>
          <w:sz w:val="15"/>
        </w:rPr>
        <w:t>et</w:t>
      </w:r>
      <w:r>
        <w:rPr>
          <w:color w:val="231F20"/>
          <w:spacing w:val="-8"/>
          <w:sz w:val="15"/>
        </w:rPr>
        <w:t> </w:t>
      </w:r>
      <w:r>
        <w:rPr>
          <w:color w:val="231F20"/>
          <w:sz w:val="15"/>
        </w:rPr>
        <w:t>al. (2017).</w:t>
      </w:r>
      <w:r>
        <w:rPr>
          <w:color w:val="231F20"/>
          <w:spacing w:val="-5"/>
          <w:sz w:val="15"/>
        </w:rPr>
        <w:t> </w:t>
      </w:r>
      <w:r>
        <w:rPr>
          <w:color w:val="231F20"/>
          <w:sz w:val="15"/>
        </w:rPr>
        <w:t>Numerical</w:t>
      </w:r>
      <w:r>
        <w:rPr>
          <w:color w:val="231F20"/>
          <w:spacing w:val="-6"/>
          <w:sz w:val="15"/>
        </w:rPr>
        <w:t> </w:t>
      </w:r>
      <w:r>
        <w:rPr>
          <w:color w:val="231F20"/>
          <w:sz w:val="15"/>
        </w:rPr>
        <w:t>modeling</w:t>
      </w:r>
      <w:r>
        <w:rPr>
          <w:color w:val="231F20"/>
          <w:spacing w:val="-5"/>
          <w:sz w:val="15"/>
        </w:rPr>
        <w:t> </w:t>
      </w:r>
      <w:r>
        <w:rPr>
          <w:color w:val="231F20"/>
          <w:sz w:val="15"/>
        </w:rPr>
        <w:t>of</w:t>
      </w:r>
      <w:r>
        <w:rPr>
          <w:color w:val="231F20"/>
          <w:spacing w:val="-4"/>
          <w:sz w:val="15"/>
        </w:rPr>
        <w:t> </w:t>
      </w:r>
      <w:r>
        <w:rPr>
          <w:color w:val="231F20"/>
          <w:sz w:val="15"/>
        </w:rPr>
        <w:t>percutaneous</w:t>
      </w:r>
      <w:r>
        <w:rPr>
          <w:color w:val="231F20"/>
          <w:spacing w:val="-5"/>
          <w:sz w:val="15"/>
        </w:rPr>
        <w:t> </w:t>
      </w:r>
      <w:r>
        <w:rPr>
          <w:color w:val="231F20"/>
          <w:sz w:val="15"/>
        </w:rPr>
        <w:t>auricular</w:t>
      </w:r>
      <w:r>
        <w:rPr>
          <w:color w:val="231F20"/>
          <w:spacing w:val="-6"/>
          <w:sz w:val="15"/>
        </w:rPr>
        <w:t> </w:t>
      </w:r>
      <w:r>
        <w:rPr>
          <w:color w:val="231F20"/>
          <w:sz w:val="15"/>
        </w:rPr>
        <w:t>vagus</w:t>
      </w:r>
      <w:r>
        <w:rPr>
          <w:color w:val="231F20"/>
          <w:spacing w:val="-4"/>
          <w:sz w:val="15"/>
        </w:rPr>
        <w:t> </w:t>
      </w:r>
      <w:r>
        <w:rPr>
          <w:color w:val="231F20"/>
          <w:sz w:val="15"/>
        </w:rPr>
        <w:t>nerve</w:t>
      </w:r>
      <w:r>
        <w:rPr>
          <w:color w:val="231F20"/>
          <w:spacing w:val="-5"/>
          <w:sz w:val="15"/>
        </w:rPr>
        <w:t> </w:t>
      </w:r>
      <w:r>
        <w:rPr>
          <w:color w:val="231F20"/>
          <w:spacing w:val="-2"/>
          <w:sz w:val="15"/>
        </w:rPr>
        <w:t>stimulation: </w:t>
      </w:r>
      <w:r>
        <w:rPr>
          <w:color w:val="231F20"/>
          <w:sz w:val="15"/>
        </w:rPr>
        <w:t>a realistic 3D model to evaluate sensitivity of neural activation to electrode position. </w:t>
      </w:r>
      <w:r>
        <w:rPr>
          <w:i/>
          <w:color w:val="231F20"/>
          <w:sz w:val="15"/>
        </w:rPr>
        <w:t>Med. Biol. Eng. Comput. </w:t>
      </w:r>
      <w:r>
        <w:rPr>
          <w:color w:val="231F20"/>
          <w:sz w:val="15"/>
        </w:rPr>
        <w:t>55, 1763–1772. </w:t>
      </w:r>
      <w:hyperlink r:id="rId118">
        <w:r>
          <w:rPr>
            <w:color w:val="231F20"/>
            <w:sz w:val="15"/>
          </w:rPr>
          <w:t>doi: 10.1007/s11517-017-</w:t>
        </w:r>
      </w:hyperlink>
      <w:bookmarkStart w:name="_bookmark90" w:id="109"/>
      <w:bookmarkEnd w:id="109"/>
      <w:r>
        <w:rPr>
          <w:color w:val="231F20"/>
          <w:sz w:val="15"/>
        </w:rPr>
      </w:r>
      <w:r>
        <w:rPr>
          <w:color w:val="231F20"/>
          <w:sz w:val="15"/>
        </w:rPr>
        <w:t> </w:t>
      </w:r>
      <w:hyperlink r:id="rId118">
        <w:r>
          <w:rPr>
            <w:color w:val="231F20"/>
            <w:sz w:val="15"/>
          </w:rPr>
          <w:t>1629-7</w:t>
        </w:r>
      </w:hyperlink>
    </w:p>
    <w:p>
      <w:pPr>
        <w:spacing w:line="223" w:lineRule="auto" w:before="4"/>
        <w:ind w:left="358" w:right="155" w:hanging="200"/>
        <w:jc w:val="both"/>
        <w:rPr>
          <w:sz w:val="15"/>
        </w:rPr>
      </w:pPr>
      <w:r>
        <w:rPr>
          <w:color w:val="231F20"/>
          <w:sz w:val="15"/>
        </w:rPr>
        <w:t>Sator-Katzenschlager, S. M., and Michalek-Sauberer, A. (2007). P-Stim auricular electroacupuncture stimulation device for pain relief. </w:t>
      </w:r>
      <w:r>
        <w:rPr>
          <w:i/>
          <w:color w:val="231F20"/>
          <w:sz w:val="15"/>
        </w:rPr>
        <w:t>Expert Rev. Med. Devices</w:t>
      </w:r>
      <w:bookmarkStart w:name="_bookmark92" w:id="110"/>
      <w:bookmarkEnd w:id="110"/>
      <w:r>
        <w:rPr>
          <w:i/>
          <w:color w:val="231F20"/>
          <w:sz w:val="15"/>
        </w:rPr>
      </w:r>
      <w:r>
        <w:rPr>
          <w:i/>
          <w:color w:val="231F20"/>
          <w:sz w:val="15"/>
        </w:rPr>
        <w:t> </w:t>
      </w:r>
      <w:hyperlink r:id="rId119">
        <w:r>
          <w:rPr>
            <w:color w:val="231F20"/>
            <w:sz w:val="15"/>
          </w:rPr>
          <w:t>4, 23–32. doi: 10.1586/17434440.4.1.23</w:t>
        </w:r>
      </w:hyperlink>
    </w:p>
    <w:p>
      <w:pPr>
        <w:spacing w:line="223" w:lineRule="auto" w:before="1"/>
        <w:ind w:left="358" w:right="155" w:hanging="200"/>
        <w:jc w:val="both"/>
        <w:rPr>
          <w:sz w:val="15"/>
        </w:rPr>
      </w:pPr>
      <w:r>
        <w:rPr>
          <w:color w:val="231F20"/>
          <w:sz w:val="15"/>
        </w:rPr>
        <w:t>Sator-Katzenschlager, S. M., Scharbert, G., Kozek-Langenecker, S. A., Szeles, J. C., Finster, G., Schiesser, A. W., et al. (2004). The short- and long-term benefit  </w:t>
      </w:r>
      <w:r>
        <w:rPr>
          <w:color w:val="231F20"/>
          <w:spacing w:val="34"/>
          <w:sz w:val="15"/>
        </w:rPr>
        <w:t> </w:t>
      </w:r>
      <w:r>
        <w:rPr>
          <w:color w:val="231F20"/>
          <w:sz w:val="15"/>
        </w:rPr>
        <w:t>in chronic low back pain through adjuvant electrical versus manual auricular acupuncture. </w:t>
      </w:r>
      <w:r>
        <w:rPr>
          <w:i/>
          <w:color w:val="231F20"/>
          <w:sz w:val="15"/>
        </w:rPr>
        <w:t>Anesth. Analg. </w:t>
      </w:r>
      <w:r>
        <w:rPr>
          <w:color w:val="231F20"/>
          <w:sz w:val="15"/>
        </w:rPr>
        <w:t>98, 1359–1364.</w:t>
      </w:r>
      <w:r>
        <w:rPr>
          <w:color w:val="231F20"/>
          <w:spacing w:val="34"/>
          <w:sz w:val="15"/>
        </w:rPr>
        <w:t> </w:t>
      </w:r>
      <w:hyperlink r:id="rId120">
        <w:r>
          <w:rPr>
            <w:color w:val="231F20"/>
            <w:sz w:val="15"/>
          </w:rPr>
          <w:t>doi: 10.1213/01.ane.0000107941.</w:t>
        </w:r>
      </w:hyperlink>
      <w:bookmarkStart w:name="_bookmark93" w:id="111"/>
      <w:bookmarkEnd w:id="111"/>
      <w:r>
        <w:rPr>
          <w:color w:val="231F20"/>
          <w:sz w:val="15"/>
        </w:rPr>
      </w:r>
      <w:r>
        <w:rPr>
          <w:color w:val="231F20"/>
          <w:sz w:val="15"/>
        </w:rPr>
        <w:t> </w:t>
      </w:r>
      <w:hyperlink r:id="rId120">
        <w:r>
          <w:rPr>
            <w:color w:val="231F20"/>
            <w:sz w:val="15"/>
          </w:rPr>
          <w:t>16173.f7</w:t>
        </w:r>
      </w:hyperlink>
    </w:p>
    <w:p>
      <w:pPr>
        <w:spacing w:line="189" w:lineRule="exact" w:before="0"/>
        <w:ind w:left="159" w:right="0" w:firstLine="0"/>
        <w:jc w:val="left"/>
        <w:rPr>
          <w:sz w:val="15"/>
        </w:rPr>
      </w:pPr>
      <w:r>
        <w:rPr>
          <w:color w:val="231F20"/>
          <w:sz w:val="15"/>
        </w:rPr>
        <w:t>Sclocco, R., Garcia, R. G., Kettner, N. W., Isenburg, K., Fisher, H. P., Hubbard,</w:t>
      </w:r>
    </w:p>
    <w:p>
      <w:pPr>
        <w:spacing w:line="223" w:lineRule="auto" w:before="4"/>
        <w:ind w:left="358" w:right="155" w:firstLine="0"/>
        <w:jc w:val="both"/>
        <w:rPr>
          <w:sz w:val="15"/>
        </w:rPr>
      </w:pPr>
      <w:r>
        <w:rPr>
          <w:color w:val="231F20"/>
          <w:sz w:val="15"/>
        </w:rPr>
        <w:t>C. S., et al. (2019). The influence of respiration on brainstem and cardiovagal response to auricular vagus nerve  stimulation:  a  multimodal  ultrahigh- </w:t>
      </w:r>
      <w:r>
        <w:rPr>
          <w:color w:val="231F20"/>
          <w:spacing w:val="34"/>
          <w:sz w:val="15"/>
        </w:rPr>
        <w:t> </w:t>
      </w:r>
      <w:r>
        <w:rPr>
          <w:color w:val="231F20"/>
          <w:sz w:val="15"/>
        </w:rPr>
        <w:t>field (7T) fMRI study. </w:t>
      </w:r>
      <w:r>
        <w:rPr>
          <w:i/>
          <w:color w:val="231F20"/>
          <w:sz w:val="15"/>
        </w:rPr>
        <w:t>Brain Stimul. </w:t>
      </w:r>
      <w:r>
        <w:rPr>
          <w:color w:val="231F20"/>
          <w:sz w:val="15"/>
        </w:rPr>
        <w:t>12, 911–921. </w:t>
      </w:r>
      <w:hyperlink r:id="rId121">
        <w:r>
          <w:rPr>
            <w:color w:val="231F20"/>
            <w:sz w:val="15"/>
          </w:rPr>
          <w:t>doi: 10.1016/j.brs.2019.</w:t>
        </w:r>
      </w:hyperlink>
      <w:bookmarkStart w:name="_bookmark94" w:id="112"/>
      <w:bookmarkEnd w:id="112"/>
      <w:r>
        <w:rPr>
          <w:color w:val="231F20"/>
          <w:sz w:val="15"/>
        </w:rPr>
      </w:r>
      <w:hyperlink r:id="rId121">
        <w:r>
          <w:rPr>
            <w:color w:val="231F20"/>
            <w:sz w:val="15"/>
          </w:rPr>
          <w:t> 02.003</w:t>
        </w:r>
      </w:hyperlink>
    </w:p>
    <w:p>
      <w:pPr>
        <w:spacing w:line="223" w:lineRule="auto" w:before="3"/>
        <w:ind w:left="358" w:right="155" w:hanging="200"/>
        <w:jc w:val="both"/>
        <w:rPr>
          <w:sz w:val="15"/>
        </w:rPr>
      </w:pPr>
      <w:r>
        <w:rPr/>
        <w:pict>
          <v:shape style="position:absolute;margin-left:301.664948pt;margin-top:47.493977pt;width:250.45pt;height:9.5pt;mso-position-horizontal-relative:page;mso-position-vertical-relative:paragraph;z-index:3616" type="#_x0000_t202" filled="true" fillcolor="#fde164" stroked="false">
            <v:textbox inset="0,0,0,0">
              <w:txbxContent>
                <w:p>
                  <w:pPr>
                    <w:spacing w:line="189" w:lineRule="exact" w:before="0"/>
                    <w:ind w:left="33" w:right="0" w:firstLine="0"/>
                    <w:jc w:val="left"/>
                    <w:rPr>
                      <w:sz w:val="15"/>
                    </w:rPr>
                  </w:pPr>
                  <w:r>
                    <w:rPr>
                      <w:color w:val="231F20"/>
                      <w:sz w:val="15"/>
                    </w:rPr>
                    <w:t>Siauciunaite, V., Kaniusas, E., Kampusch, S., Szeles, J. C., and Vainoras, A.</w:t>
                  </w:r>
                </w:p>
              </w:txbxContent>
            </v:textbox>
            <v:fill opacity="26214f" type="solid"/>
            <w10:wrap type="none"/>
          </v:shape>
        </w:pict>
      </w:r>
      <w:r>
        <w:rPr>
          <w:color w:val="231F20"/>
          <w:sz w:val="15"/>
        </w:rPr>
        <w:t>Shinlapawittayatorn,</w:t>
      </w:r>
      <w:r>
        <w:rPr>
          <w:color w:val="231F20"/>
          <w:spacing w:val="34"/>
          <w:sz w:val="15"/>
        </w:rPr>
        <w:t> </w:t>
      </w:r>
      <w:r>
        <w:rPr>
          <w:color w:val="231F20"/>
          <w:sz w:val="15"/>
        </w:rPr>
        <w:t>K.,  Chinda,  K.,  Palee,  S.,  Surinkaew,  S.,  Kumfu,  </w:t>
      </w:r>
      <w:r>
        <w:rPr>
          <w:color w:val="231F20"/>
          <w:spacing w:val="-5"/>
          <w:sz w:val="15"/>
        </w:rPr>
        <w:t>S., </w:t>
      </w:r>
      <w:r>
        <w:rPr>
          <w:color w:val="231F20"/>
          <w:sz w:val="15"/>
        </w:rPr>
        <w:t>Kumphune, S., et al. (2014). </w:t>
      </w:r>
      <w:r>
        <w:rPr>
          <w:color w:val="231F20"/>
          <w:spacing w:val="-4"/>
          <w:sz w:val="15"/>
        </w:rPr>
        <w:t>Vagus </w:t>
      </w:r>
      <w:r>
        <w:rPr>
          <w:color w:val="231F20"/>
          <w:sz w:val="15"/>
        </w:rPr>
        <w:t>nerve stimulation initiated late </w:t>
      </w:r>
      <w:r>
        <w:rPr>
          <w:color w:val="231F20"/>
          <w:spacing w:val="-3"/>
          <w:sz w:val="15"/>
        </w:rPr>
        <w:t>during </w:t>
      </w:r>
      <w:r>
        <w:rPr>
          <w:color w:val="231F20"/>
          <w:sz w:val="15"/>
        </w:rPr>
        <w:t>ischemia, but not reperfusion, exerts cardioprotection via amelioration of cardiac mitochondrial dysfunction. </w:t>
      </w:r>
      <w:r>
        <w:rPr>
          <w:i/>
          <w:color w:val="231F20"/>
          <w:sz w:val="15"/>
        </w:rPr>
        <w:t>Heart Rhythm </w:t>
      </w:r>
      <w:r>
        <w:rPr>
          <w:color w:val="231F20"/>
          <w:sz w:val="15"/>
        </w:rPr>
        <w:t>11:2278. </w:t>
      </w:r>
      <w:hyperlink r:id="rId122">
        <w:r>
          <w:rPr>
            <w:color w:val="231F20"/>
            <w:sz w:val="15"/>
          </w:rPr>
          <w:t>doi: 10.1016/j.</w:t>
        </w:r>
      </w:hyperlink>
      <w:bookmarkStart w:name="_bookmark95" w:id="113"/>
      <w:bookmarkEnd w:id="113"/>
      <w:r>
        <w:rPr>
          <w:color w:val="231F20"/>
          <w:sz w:val="15"/>
        </w:rPr>
      </w:r>
      <w:r>
        <w:rPr>
          <w:color w:val="231F20"/>
          <w:sz w:val="15"/>
        </w:rPr>
        <w:t> </w:t>
      </w:r>
      <w:hyperlink r:id="rId122">
        <w:r>
          <w:rPr>
            <w:color w:val="231F20"/>
            <w:sz w:val="15"/>
          </w:rPr>
          <w:t>hrthm.2014.08.001</w:t>
        </w:r>
      </w:hyperlink>
    </w:p>
    <w:p>
      <w:pPr>
        <w:pStyle w:val="BodyText"/>
        <w:spacing w:before="7"/>
        <w:ind w:left="0"/>
        <w:rPr>
          <w:sz w:val="12"/>
        </w:rPr>
      </w:pPr>
      <w:r>
        <w:rPr/>
        <w:pict>
          <v:shape style="position:absolute;margin-left:311.624939pt;margin-top:9.666277pt;width:240.5pt;height:37.9pt;mso-position-horizontal-relative:page;mso-position-vertical-relative:paragraph;z-index:1448;mso-wrap-distance-left:0;mso-wrap-distance-right:0" type="#_x0000_t202" filled="true" fillcolor="#fde164" stroked="false">
            <v:textbox inset="0,0,0,0">
              <w:txbxContent>
                <w:p>
                  <w:pPr>
                    <w:spacing w:line="223" w:lineRule="auto" w:before="0"/>
                    <w:ind w:left="33" w:right="31" w:firstLine="0"/>
                    <w:jc w:val="both"/>
                    <w:rPr>
                      <w:sz w:val="15"/>
                    </w:rPr>
                  </w:pPr>
                  <w:r>
                    <w:rPr>
                      <w:color w:val="231F20"/>
                      <w:sz w:val="15"/>
                    </w:rPr>
                    <w:t>(2018). “Auricular vagus nerve stimulation affects fractality of the human body as resolved by advanced ECG,” in </w:t>
                  </w:r>
                  <w:r>
                    <w:rPr>
                      <w:i/>
                      <w:color w:val="231F20"/>
                      <w:sz w:val="15"/>
                    </w:rPr>
                    <w:t>Proceedings of the EMF-Med 1st World </w:t>
                  </w:r>
                  <w:r>
                    <w:rPr>
                      <w:i/>
                      <w:color w:val="231F20"/>
                      <w:sz w:val="15"/>
                    </w:rPr>
                    <w:t>Conference on Biomedical Applications of Electromagnetic Fields (EMF-Med) 2018</w:t>
                  </w:r>
                  <w:r>
                    <w:rPr>
                      <w:color w:val="231F20"/>
                      <w:sz w:val="15"/>
                    </w:rPr>
                    <w:t>, (Split: FESB, University of Split), 1–2. </w:t>
                  </w:r>
                  <w:hyperlink r:id="rId123">
                    <w:r>
                      <w:rPr>
                        <w:color w:val="231F20"/>
                        <w:sz w:val="15"/>
                      </w:rPr>
                      <w:t>doi: 10.23919/emf-med.2018.</w:t>
                    </w:r>
                  </w:hyperlink>
                </w:p>
              </w:txbxContent>
            </v:textbox>
            <v:fill opacity="26214f" type="solid"/>
            <w10:wrap type="topAndBottom"/>
          </v:shape>
        </w:pict>
      </w:r>
    </w:p>
    <w:p>
      <w:pPr>
        <w:pStyle w:val="BodyText"/>
        <w:spacing w:before="11"/>
        <w:ind w:left="0"/>
        <w:rPr>
          <w:sz w:val="12"/>
        </w:rPr>
      </w:pPr>
    </w:p>
    <w:p>
      <w:pPr>
        <w:spacing w:line="223" w:lineRule="auto" w:before="1"/>
        <w:ind w:left="358" w:right="155" w:hanging="200"/>
        <w:jc w:val="both"/>
        <w:rPr>
          <w:sz w:val="15"/>
        </w:rPr>
      </w:pPr>
      <w:r>
        <w:rPr/>
        <w:pict>
          <v:shape style="position:absolute;margin-left:311.624939pt;margin-top:-9.393040pt;width:28.6pt;height:9.6pt;mso-position-horizontal-relative:page;mso-position-vertical-relative:paragraph;z-index:3592" type="#_x0000_t202" filled="true" fillcolor="#fde164" stroked="false">
            <v:textbox inset="0,0,0,0">
              <w:txbxContent>
                <w:p>
                  <w:pPr>
                    <w:spacing w:line="192" w:lineRule="exact" w:before="0"/>
                    <w:ind w:left="33" w:right="0" w:firstLine="0"/>
                    <w:jc w:val="left"/>
                    <w:rPr>
                      <w:sz w:val="15"/>
                    </w:rPr>
                  </w:pPr>
                  <w:hyperlink r:id="rId123">
                    <w:r>
                      <w:rPr>
                        <w:color w:val="231F20"/>
                        <w:sz w:val="15"/>
                      </w:rPr>
                      <w:t>8526021</w:t>
                    </w:r>
                  </w:hyperlink>
                </w:p>
              </w:txbxContent>
            </v:textbox>
            <v:fill opacity="26214f" type="solid"/>
            <w10:wrap type="none"/>
          </v:shape>
        </w:pict>
      </w:r>
      <w:bookmarkStart w:name="_bookmark97" w:id="114"/>
      <w:bookmarkEnd w:id="114"/>
      <w:r>
        <w:rPr/>
      </w:r>
      <w:r>
        <w:rPr>
          <w:color w:val="231F20"/>
          <w:sz w:val="15"/>
        </w:rPr>
        <w:t>Silberstein,</w:t>
      </w:r>
      <w:r>
        <w:rPr>
          <w:color w:val="231F20"/>
          <w:spacing w:val="-8"/>
          <w:sz w:val="15"/>
        </w:rPr>
        <w:t> </w:t>
      </w:r>
      <w:r>
        <w:rPr>
          <w:color w:val="231F20"/>
          <w:sz w:val="15"/>
        </w:rPr>
        <w:t>S.</w:t>
      </w:r>
      <w:r>
        <w:rPr>
          <w:color w:val="231F20"/>
          <w:spacing w:val="-8"/>
          <w:sz w:val="15"/>
        </w:rPr>
        <w:t> </w:t>
      </w:r>
      <w:r>
        <w:rPr>
          <w:color w:val="231F20"/>
          <w:sz w:val="15"/>
        </w:rPr>
        <w:t>D.,</w:t>
      </w:r>
      <w:r>
        <w:rPr>
          <w:color w:val="231F20"/>
          <w:spacing w:val="-7"/>
          <w:sz w:val="15"/>
        </w:rPr>
        <w:t> </w:t>
      </w:r>
      <w:r>
        <w:rPr>
          <w:color w:val="231F20"/>
          <w:sz w:val="15"/>
        </w:rPr>
        <w:t>Calhoun,</w:t>
      </w:r>
      <w:r>
        <w:rPr>
          <w:color w:val="231F20"/>
          <w:spacing w:val="-8"/>
          <w:sz w:val="15"/>
        </w:rPr>
        <w:t> </w:t>
      </w:r>
      <w:r>
        <w:rPr>
          <w:color w:val="231F20"/>
          <w:sz w:val="15"/>
        </w:rPr>
        <w:t>A.</w:t>
      </w:r>
      <w:r>
        <w:rPr>
          <w:color w:val="231F20"/>
          <w:spacing w:val="-7"/>
          <w:sz w:val="15"/>
        </w:rPr>
        <w:t> </w:t>
      </w:r>
      <w:r>
        <w:rPr>
          <w:color w:val="231F20"/>
          <w:sz w:val="15"/>
        </w:rPr>
        <w:t>H.,</w:t>
      </w:r>
      <w:r>
        <w:rPr>
          <w:color w:val="231F20"/>
          <w:spacing w:val="-8"/>
          <w:sz w:val="15"/>
        </w:rPr>
        <w:t> </w:t>
      </w:r>
      <w:r>
        <w:rPr>
          <w:color w:val="231F20"/>
          <w:sz w:val="15"/>
        </w:rPr>
        <w:t>Lipton,</w:t>
      </w:r>
      <w:r>
        <w:rPr>
          <w:color w:val="231F20"/>
          <w:spacing w:val="-7"/>
          <w:sz w:val="15"/>
        </w:rPr>
        <w:t> </w:t>
      </w:r>
      <w:r>
        <w:rPr>
          <w:color w:val="231F20"/>
          <w:sz w:val="15"/>
        </w:rPr>
        <w:t>R.</w:t>
      </w:r>
      <w:r>
        <w:rPr>
          <w:color w:val="231F20"/>
          <w:spacing w:val="-8"/>
          <w:sz w:val="15"/>
        </w:rPr>
        <w:t> </w:t>
      </w:r>
      <w:r>
        <w:rPr>
          <w:color w:val="231F20"/>
          <w:sz w:val="15"/>
        </w:rPr>
        <w:t>B.,</w:t>
      </w:r>
      <w:r>
        <w:rPr>
          <w:color w:val="231F20"/>
          <w:spacing w:val="-7"/>
          <w:sz w:val="15"/>
        </w:rPr>
        <w:t> </w:t>
      </w:r>
      <w:r>
        <w:rPr>
          <w:color w:val="231F20"/>
          <w:sz w:val="15"/>
        </w:rPr>
        <w:t>Grosberg,</w:t>
      </w:r>
      <w:r>
        <w:rPr>
          <w:color w:val="231F20"/>
          <w:spacing w:val="-8"/>
          <w:sz w:val="15"/>
        </w:rPr>
        <w:t> </w:t>
      </w:r>
      <w:r>
        <w:rPr>
          <w:color w:val="231F20"/>
          <w:sz w:val="15"/>
        </w:rPr>
        <w:t>B.</w:t>
      </w:r>
      <w:r>
        <w:rPr>
          <w:color w:val="231F20"/>
          <w:spacing w:val="-7"/>
          <w:sz w:val="15"/>
        </w:rPr>
        <w:t> </w:t>
      </w:r>
      <w:r>
        <w:rPr>
          <w:color w:val="231F20"/>
          <w:sz w:val="15"/>
        </w:rPr>
        <w:t>M.,</w:t>
      </w:r>
      <w:r>
        <w:rPr>
          <w:color w:val="231F20"/>
          <w:spacing w:val="-8"/>
          <w:sz w:val="15"/>
        </w:rPr>
        <w:t> </w:t>
      </w:r>
      <w:r>
        <w:rPr>
          <w:color w:val="231F20"/>
          <w:sz w:val="15"/>
        </w:rPr>
        <w:t>Cady,</w:t>
      </w:r>
      <w:r>
        <w:rPr>
          <w:color w:val="231F20"/>
          <w:spacing w:val="-7"/>
          <w:sz w:val="15"/>
        </w:rPr>
        <w:t> </w:t>
      </w:r>
      <w:r>
        <w:rPr>
          <w:color w:val="231F20"/>
          <w:sz w:val="15"/>
        </w:rPr>
        <w:t>R.</w:t>
      </w:r>
      <w:r>
        <w:rPr>
          <w:color w:val="231F20"/>
          <w:spacing w:val="-8"/>
          <w:sz w:val="15"/>
        </w:rPr>
        <w:t> </w:t>
      </w:r>
      <w:r>
        <w:rPr>
          <w:color w:val="231F20"/>
          <w:sz w:val="15"/>
        </w:rPr>
        <w:t>K.,</w:t>
      </w:r>
      <w:r>
        <w:rPr>
          <w:color w:val="231F20"/>
          <w:spacing w:val="-8"/>
          <w:sz w:val="15"/>
        </w:rPr>
        <w:t> </w:t>
      </w:r>
      <w:r>
        <w:rPr>
          <w:color w:val="231F20"/>
          <w:spacing w:val="-3"/>
          <w:sz w:val="15"/>
        </w:rPr>
        <w:t>Dorlas, </w:t>
      </w:r>
      <w:r>
        <w:rPr>
          <w:color w:val="231F20"/>
          <w:sz w:val="15"/>
        </w:rPr>
        <w:t>S., et al. (2016). Chronic migraine headache prevention with noninvasive</w:t>
      </w:r>
      <w:r>
        <w:rPr>
          <w:color w:val="231F20"/>
          <w:spacing w:val="-15"/>
          <w:sz w:val="15"/>
        </w:rPr>
        <w:t> </w:t>
      </w:r>
      <w:r>
        <w:rPr>
          <w:color w:val="231F20"/>
          <w:sz w:val="15"/>
        </w:rPr>
        <w:t>vagus nerve stimulation: the event study. </w:t>
      </w:r>
      <w:r>
        <w:rPr>
          <w:i/>
          <w:color w:val="231F20"/>
          <w:sz w:val="15"/>
        </w:rPr>
        <w:t>Neurology </w:t>
      </w:r>
      <w:r>
        <w:rPr>
          <w:color w:val="231F20"/>
          <w:sz w:val="15"/>
        </w:rPr>
        <w:t>87, 529–538. </w:t>
      </w:r>
      <w:hyperlink r:id="rId124">
        <w:r>
          <w:rPr>
            <w:color w:val="231F20"/>
            <w:sz w:val="15"/>
          </w:rPr>
          <w:t>doi: 10.1212/WNL.</w:t>
        </w:r>
      </w:hyperlink>
      <w:bookmarkStart w:name="_bookmark96" w:id="115"/>
      <w:bookmarkEnd w:id="115"/>
      <w:r>
        <w:rPr>
          <w:color w:val="231F20"/>
          <w:sz w:val="15"/>
        </w:rPr>
      </w:r>
      <w:r>
        <w:rPr>
          <w:color w:val="231F20"/>
          <w:sz w:val="15"/>
        </w:rPr>
        <w:t> </w:t>
      </w:r>
      <w:hyperlink r:id="rId124">
        <w:r>
          <w:rPr>
            <w:color w:val="231F20"/>
            <w:sz w:val="15"/>
          </w:rPr>
          <w:t>0000000000002918</w:t>
        </w:r>
      </w:hyperlink>
    </w:p>
    <w:p>
      <w:pPr>
        <w:spacing w:line="225" w:lineRule="auto" w:before="0"/>
        <w:ind w:left="358" w:right="155" w:hanging="200"/>
        <w:jc w:val="both"/>
        <w:rPr>
          <w:sz w:val="15"/>
        </w:rPr>
      </w:pPr>
      <w:r>
        <w:rPr/>
        <w:pict>
          <v:shape style="position:absolute;margin-left:301.664856pt;margin-top:19.115713pt;width:250.45pt;height:9.5pt;mso-position-horizontal-relative:page;mso-position-vertical-relative:paragraph;z-index:3568" type="#_x0000_t202" filled="true" fillcolor="#fde164" stroked="false">
            <v:textbox inset="0,0,0,0">
              <w:txbxContent>
                <w:p>
                  <w:pPr>
                    <w:spacing w:line="189" w:lineRule="exact" w:before="0"/>
                    <w:ind w:left="33" w:right="0" w:firstLine="0"/>
                    <w:jc w:val="left"/>
                    <w:rPr>
                      <w:sz w:val="15"/>
                    </w:rPr>
                  </w:pPr>
                  <w:r>
                    <w:rPr>
                      <w:color w:val="231F20"/>
                      <w:sz w:val="15"/>
                    </w:rPr>
                    <w:t>Stanslaski, S., Afshar, P., Cong, P., Giftakis, J., Stypulkowski, P., Carlson, D.,</w:t>
                  </w:r>
                </w:p>
              </w:txbxContent>
            </v:textbox>
            <v:fill opacity="26214f" type="solid"/>
            <w10:wrap type="none"/>
          </v:shape>
        </w:pict>
      </w:r>
      <w:r>
        <w:rPr>
          <w:color w:val="231F20"/>
          <w:sz w:val="15"/>
        </w:rPr>
        <w:t>Standring,</w:t>
      </w:r>
      <w:r>
        <w:rPr>
          <w:color w:val="231F20"/>
          <w:spacing w:val="-10"/>
          <w:sz w:val="15"/>
        </w:rPr>
        <w:t> </w:t>
      </w:r>
      <w:r>
        <w:rPr>
          <w:color w:val="231F20"/>
          <w:sz w:val="15"/>
        </w:rPr>
        <w:t>S.</w:t>
      </w:r>
      <w:r>
        <w:rPr>
          <w:color w:val="231F20"/>
          <w:spacing w:val="-10"/>
          <w:sz w:val="15"/>
        </w:rPr>
        <w:t> </w:t>
      </w:r>
      <w:r>
        <w:rPr>
          <w:color w:val="231F20"/>
          <w:sz w:val="15"/>
        </w:rPr>
        <w:t>(2016).</w:t>
      </w:r>
      <w:r>
        <w:rPr>
          <w:color w:val="231F20"/>
          <w:spacing w:val="-10"/>
          <w:sz w:val="15"/>
        </w:rPr>
        <w:t> </w:t>
      </w:r>
      <w:r>
        <w:rPr>
          <w:i/>
          <w:color w:val="231F20"/>
          <w:spacing w:val="-3"/>
          <w:sz w:val="15"/>
        </w:rPr>
        <w:t>Gray’s</w:t>
      </w:r>
      <w:r>
        <w:rPr>
          <w:i/>
          <w:color w:val="231F20"/>
          <w:spacing w:val="-9"/>
          <w:sz w:val="15"/>
        </w:rPr>
        <w:t> </w:t>
      </w:r>
      <w:r>
        <w:rPr>
          <w:i/>
          <w:color w:val="231F20"/>
          <w:sz w:val="15"/>
        </w:rPr>
        <w:t>Anatomy,</w:t>
      </w:r>
      <w:r>
        <w:rPr>
          <w:i/>
          <w:color w:val="231F20"/>
          <w:spacing w:val="-10"/>
          <w:sz w:val="15"/>
        </w:rPr>
        <w:t> </w:t>
      </w:r>
      <w:r>
        <w:rPr>
          <w:i/>
          <w:color w:val="231F20"/>
          <w:sz w:val="15"/>
        </w:rPr>
        <w:t>The</w:t>
      </w:r>
      <w:r>
        <w:rPr>
          <w:i/>
          <w:color w:val="231F20"/>
          <w:spacing w:val="-10"/>
          <w:sz w:val="15"/>
        </w:rPr>
        <w:t> </w:t>
      </w:r>
      <w:r>
        <w:rPr>
          <w:i/>
          <w:color w:val="231F20"/>
          <w:sz w:val="15"/>
        </w:rPr>
        <w:t>Anatomical</w:t>
      </w:r>
      <w:r>
        <w:rPr>
          <w:i/>
          <w:color w:val="231F20"/>
          <w:spacing w:val="-9"/>
          <w:sz w:val="15"/>
        </w:rPr>
        <w:t> </w:t>
      </w:r>
      <w:r>
        <w:rPr>
          <w:i/>
          <w:color w:val="231F20"/>
          <w:sz w:val="15"/>
        </w:rPr>
        <w:t>Basis</w:t>
      </w:r>
      <w:r>
        <w:rPr>
          <w:i/>
          <w:color w:val="231F20"/>
          <w:spacing w:val="-10"/>
          <w:sz w:val="15"/>
        </w:rPr>
        <w:t> </w:t>
      </w:r>
      <w:r>
        <w:rPr>
          <w:i/>
          <w:color w:val="231F20"/>
          <w:sz w:val="15"/>
        </w:rPr>
        <w:t>of</w:t>
      </w:r>
      <w:r>
        <w:rPr>
          <w:i/>
          <w:color w:val="231F20"/>
          <w:spacing w:val="-10"/>
          <w:sz w:val="15"/>
        </w:rPr>
        <w:t> </w:t>
      </w:r>
      <w:r>
        <w:rPr>
          <w:i/>
          <w:color w:val="231F20"/>
          <w:sz w:val="15"/>
        </w:rPr>
        <w:t>Clinical</w:t>
      </w:r>
      <w:r>
        <w:rPr>
          <w:i/>
          <w:color w:val="231F20"/>
          <w:spacing w:val="-9"/>
          <w:sz w:val="15"/>
        </w:rPr>
        <w:t> </w:t>
      </w:r>
      <w:r>
        <w:rPr>
          <w:i/>
          <w:color w:val="231F20"/>
          <w:sz w:val="15"/>
        </w:rPr>
        <w:t>Practice</w:t>
      </w:r>
      <w:r>
        <w:rPr>
          <w:color w:val="231F20"/>
          <w:sz w:val="15"/>
        </w:rPr>
        <w:t>,</w:t>
      </w:r>
      <w:r>
        <w:rPr>
          <w:color w:val="231F20"/>
          <w:spacing w:val="-10"/>
          <w:sz w:val="15"/>
        </w:rPr>
        <w:t> </w:t>
      </w:r>
      <w:r>
        <w:rPr>
          <w:color w:val="231F20"/>
          <w:sz w:val="15"/>
        </w:rPr>
        <w:t>41st</w:t>
      </w:r>
      <w:bookmarkStart w:name="_bookmark98" w:id="116"/>
      <w:bookmarkEnd w:id="116"/>
      <w:r>
        <w:rPr>
          <w:color w:val="231F20"/>
          <w:sz w:val="15"/>
        </w:rPr>
      </w:r>
      <w:r>
        <w:rPr>
          <w:color w:val="231F20"/>
          <w:sz w:val="15"/>
        </w:rPr>
        <w:t> Edn. Amsterdam: Elsevier Publisher.</w:t>
      </w:r>
    </w:p>
    <w:p>
      <w:pPr>
        <w:pStyle w:val="BodyText"/>
        <w:spacing w:before="2"/>
        <w:ind w:left="0"/>
        <w:rPr>
          <w:sz w:val="12"/>
        </w:rPr>
      </w:pPr>
      <w:r>
        <w:rPr/>
        <w:pict>
          <v:shape style="position:absolute;margin-left:311.624847pt;margin-top:9.431575pt;width:240.5pt;height:28.4pt;mso-position-horizontal-relative:page;mso-position-vertical-relative:paragraph;z-index:1472;mso-wrap-distance-left:0;mso-wrap-distance-right:0" type="#_x0000_t202" filled="true" fillcolor="#fde164" stroked="false">
            <v:textbox inset="0,0,0,0">
              <w:txbxContent>
                <w:p>
                  <w:pPr>
                    <w:spacing w:line="223" w:lineRule="auto" w:before="0"/>
                    <w:ind w:left="33" w:right="31" w:firstLine="0"/>
                    <w:jc w:val="both"/>
                    <w:rPr>
                      <w:sz w:val="15"/>
                    </w:rPr>
                  </w:pPr>
                  <w:r>
                    <w:rPr>
                      <w:color w:val="231F20"/>
                      <w:sz w:val="15"/>
                    </w:rPr>
                    <w:t>et al. (2012). Design and validation of a fully implantable, chronic, closed-</w:t>
                  </w:r>
                  <w:r>
                    <w:rPr>
                      <w:color w:val="231F20"/>
                      <w:spacing w:val="34"/>
                      <w:sz w:val="15"/>
                    </w:rPr>
                    <w:t> </w:t>
                  </w:r>
                  <w:r>
                    <w:rPr>
                      <w:color w:val="231F20"/>
                      <w:sz w:val="15"/>
                    </w:rPr>
                    <w:t>loop neuromodulation device with concurrent sensing and stimulation. </w:t>
                  </w:r>
                  <w:r>
                    <w:rPr>
                      <w:i/>
                      <w:color w:val="231F20"/>
                      <w:spacing w:val="-4"/>
                      <w:sz w:val="15"/>
                    </w:rPr>
                    <w:t>IEEE </w:t>
                  </w:r>
                  <w:r>
                    <w:rPr>
                      <w:i/>
                      <w:color w:val="231F20"/>
                      <w:sz w:val="15"/>
                    </w:rPr>
                    <w:t>Trans. Neural. Syst. Rehabil. Eng. </w:t>
                  </w:r>
                  <w:r>
                    <w:rPr>
                      <w:color w:val="231F20"/>
                      <w:sz w:val="15"/>
                    </w:rPr>
                    <w:t>20, 410–421. </w:t>
                  </w:r>
                  <w:hyperlink r:id="rId125">
                    <w:r>
                      <w:rPr>
                        <w:color w:val="231F20"/>
                        <w:sz w:val="15"/>
                      </w:rPr>
                      <w:t>doi:</w:t>
                    </w:r>
                    <w:r>
                      <w:rPr>
                        <w:color w:val="231F20"/>
                        <w:spacing w:val="-19"/>
                        <w:sz w:val="15"/>
                      </w:rPr>
                      <w:t> </w:t>
                    </w:r>
                    <w:r>
                      <w:rPr>
                        <w:color w:val="231F20"/>
                        <w:sz w:val="15"/>
                      </w:rPr>
                      <w:t>10.1109/TNSRE.2012.218</w:t>
                    </w:r>
                  </w:hyperlink>
                </w:p>
              </w:txbxContent>
            </v:textbox>
            <v:fill opacity="26214f" type="solid"/>
            <w10:wrap type="topAndBottom"/>
          </v:shape>
        </w:pict>
      </w:r>
    </w:p>
    <w:p>
      <w:pPr>
        <w:pStyle w:val="BodyText"/>
        <w:spacing w:before="12"/>
        <w:ind w:left="0"/>
        <w:rPr>
          <w:sz w:val="12"/>
        </w:rPr>
      </w:pPr>
    </w:p>
    <w:p>
      <w:pPr>
        <w:spacing w:line="223" w:lineRule="auto" w:before="0"/>
        <w:ind w:left="358" w:right="155" w:hanging="200"/>
        <w:jc w:val="both"/>
        <w:rPr>
          <w:sz w:val="15"/>
        </w:rPr>
      </w:pPr>
      <w:r>
        <w:rPr/>
        <w:pict>
          <v:shape style="position:absolute;margin-left:311.624847pt;margin-top:-9.444125pt;width:17.8pt;height:9.6pt;mso-position-horizontal-relative:page;mso-position-vertical-relative:paragraph;z-index:3544" type="#_x0000_t202" filled="true" fillcolor="#fde164" stroked="false">
            <v:textbox inset="0,0,0,0">
              <w:txbxContent>
                <w:p>
                  <w:pPr>
                    <w:spacing w:line="192" w:lineRule="exact" w:before="0"/>
                    <w:ind w:left="33" w:right="0" w:firstLine="0"/>
                    <w:jc w:val="left"/>
                    <w:rPr>
                      <w:sz w:val="15"/>
                    </w:rPr>
                  </w:pPr>
                  <w:hyperlink r:id="rId125">
                    <w:r>
                      <w:rPr>
                        <w:color w:val="231F20"/>
                        <w:sz w:val="15"/>
                      </w:rPr>
                      <w:t>3617</w:t>
                    </w:r>
                  </w:hyperlink>
                </w:p>
              </w:txbxContent>
            </v:textbox>
            <v:fill opacity="26214f" type="solid"/>
            <w10:wrap type="none"/>
          </v:shape>
        </w:pict>
      </w:r>
      <w:bookmarkStart w:name="_bookmark100" w:id="117"/>
      <w:bookmarkEnd w:id="117"/>
      <w:r>
        <w:rPr/>
      </w:r>
      <w:r>
        <w:rPr>
          <w:color w:val="231F20"/>
          <w:sz w:val="15"/>
        </w:rPr>
        <w:t>Stavrakis, S., and Po, S. S. (2015). Neuroimmunomodulation: a new frontier of treating cardiovascular diseases. </w:t>
      </w:r>
      <w:r>
        <w:rPr>
          <w:i/>
          <w:color w:val="231F20"/>
          <w:sz w:val="15"/>
        </w:rPr>
        <w:t>Trends Cardiovasc. Med. </w:t>
      </w:r>
      <w:r>
        <w:rPr>
          <w:color w:val="231F20"/>
          <w:sz w:val="15"/>
        </w:rPr>
        <w:t>26, 12–13. </w:t>
      </w:r>
      <w:hyperlink r:id="rId126">
        <w:r>
          <w:rPr>
            <w:color w:val="231F20"/>
            <w:sz w:val="15"/>
          </w:rPr>
          <w:t>doi: 10.</w:t>
        </w:r>
      </w:hyperlink>
      <w:bookmarkStart w:name="_bookmark99" w:id="118"/>
      <w:bookmarkEnd w:id="118"/>
      <w:r>
        <w:rPr>
          <w:color w:val="231F20"/>
          <w:sz w:val="15"/>
        </w:rPr>
      </w:r>
      <w:r>
        <w:rPr>
          <w:color w:val="231F20"/>
          <w:sz w:val="15"/>
        </w:rPr>
        <w:t> </w:t>
      </w:r>
      <w:hyperlink r:id="rId126">
        <w:r>
          <w:rPr>
            <w:color w:val="231F20"/>
            <w:sz w:val="15"/>
          </w:rPr>
          <w:t>1016/j.tcm.2015.04.007</w:t>
        </w:r>
      </w:hyperlink>
    </w:p>
    <w:p>
      <w:pPr>
        <w:spacing w:line="223" w:lineRule="auto" w:before="1"/>
        <w:ind w:left="358" w:right="155" w:hanging="200"/>
        <w:jc w:val="both"/>
        <w:rPr>
          <w:sz w:val="15"/>
        </w:rPr>
      </w:pPr>
      <w:r>
        <w:rPr>
          <w:color w:val="231F20"/>
          <w:sz w:val="15"/>
        </w:rPr>
        <w:t>Straube, A.,  Ellrich,  J.,  Eren,  O.,  Blum,  B.,  and  Ruscheweyh,  R.  (2015). Treatment of chronic migraine with transcutaneous stimulation of the auricular branch  of  the  vagal  nerve  (auricular  t-VNS):  a  randomized, monocentric clinical trial. </w:t>
      </w:r>
      <w:r>
        <w:rPr>
          <w:i/>
          <w:color w:val="231F20"/>
          <w:sz w:val="15"/>
        </w:rPr>
        <w:t>J. Headache Pain </w:t>
      </w:r>
      <w:r>
        <w:rPr>
          <w:color w:val="231F20"/>
          <w:sz w:val="15"/>
        </w:rPr>
        <w:t>16, 1–9. </w:t>
      </w:r>
      <w:hyperlink r:id="rId127">
        <w:r>
          <w:rPr>
            <w:color w:val="231F20"/>
            <w:sz w:val="15"/>
          </w:rPr>
          <w:t>doi: 10.1186/s10194-015-</w:t>
        </w:r>
      </w:hyperlink>
      <w:bookmarkStart w:name="_bookmark101" w:id="119"/>
      <w:bookmarkEnd w:id="119"/>
      <w:r>
        <w:rPr>
          <w:color w:val="231F20"/>
          <w:sz w:val="15"/>
        </w:rPr>
      </w:r>
      <w:r>
        <w:rPr>
          <w:color w:val="231F20"/>
          <w:sz w:val="15"/>
        </w:rPr>
        <w:t> </w:t>
      </w:r>
      <w:hyperlink r:id="rId127">
        <w:r>
          <w:rPr>
            <w:color w:val="231F20"/>
            <w:sz w:val="15"/>
          </w:rPr>
          <w:t>0543-3</w:t>
        </w:r>
      </w:hyperlink>
    </w:p>
    <w:p>
      <w:pPr>
        <w:spacing w:line="223" w:lineRule="auto" w:before="4"/>
        <w:ind w:left="358" w:right="155" w:hanging="200"/>
        <w:jc w:val="both"/>
        <w:rPr>
          <w:sz w:val="15"/>
        </w:rPr>
      </w:pPr>
      <w:r>
        <w:rPr>
          <w:color w:val="231F20"/>
          <w:sz w:val="15"/>
        </w:rPr>
        <w:t>Sweeney, J. D., Mortimer, J. T., and Durand, D. (1987). “Modeling of mammalian myelinated nerve for functional neuromuscular stimulation,” in </w:t>
      </w:r>
      <w:r>
        <w:rPr>
          <w:i/>
          <w:color w:val="231F20"/>
          <w:sz w:val="15"/>
        </w:rPr>
        <w:t>Proceedings of </w:t>
      </w:r>
      <w:r>
        <w:rPr>
          <w:i/>
          <w:color w:val="231F20"/>
          <w:sz w:val="15"/>
        </w:rPr>
        <w:t>the IEEE 9th Annual Conference of the Engineering in Medicine and Biology</w:t>
      </w:r>
      <w:bookmarkStart w:name="_bookmark102" w:id="120"/>
      <w:bookmarkEnd w:id="120"/>
      <w:r>
        <w:rPr>
          <w:i/>
          <w:color w:val="231F20"/>
          <w:sz w:val="15"/>
        </w:rPr>
      </w:r>
      <w:r>
        <w:rPr>
          <w:i/>
          <w:color w:val="231F20"/>
          <w:sz w:val="15"/>
        </w:rPr>
        <w:t> Society</w:t>
      </w:r>
      <w:r>
        <w:rPr>
          <w:color w:val="231F20"/>
          <w:sz w:val="15"/>
        </w:rPr>
        <w:t>, (Boston, MA: IEEE).</w:t>
      </w:r>
    </w:p>
    <w:p>
      <w:pPr>
        <w:spacing w:line="184" w:lineRule="exact" w:before="0"/>
        <w:ind w:left="159" w:right="0" w:firstLine="0"/>
        <w:jc w:val="left"/>
        <w:rPr>
          <w:sz w:val="15"/>
        </w:rPr>
      </w:pPr>
      <w:r>
        <w:rPr>
          <w:color w:val="231F20"/>
          <w:sz w:val="15"/>
        </w:rPr>
        <w:t>Szabó, C. Á, Salinas, F. S., Papanastassiou, A. M., Begnaud, J., Ravan, M., Eggleston,</w:t>
      </w:r>
    </w:p>
    <w:p>
      <w:pPr>
        <w:spacing w:line="223" w:lineRule="auto" w:before="4"/>
        <w:ind w:left="358" w:right="155" w:firstLine="0"/>
        <w:jc w:val="both"/>
        <w:rPr>
          <w:sz w:val="15"/>
        </w:rPr>
      </w:pPr>
      <w:r>
        <w:rPr>
          <w:color w:val="231F20"/>
          <w:sz w:val="15"/>
        </w:rPr>
        <w:t>K. S., et al. (2017). High-frequency burst vagal nerve simulation therapy in a natural</w:t>
      </w:r>
      <w:r>
        <w:rPr>
          <w:color w:val="231F20"/>
          <w:spacing w:val="-3"/>
          <w:sz w:val="15"/>
        </w:rPr>
        <w:t> </w:t>
      </w:r>
      <w:r>
        <w:rPr>
          <w:color w:val="231F20"/>
          <w:sz w:val="15"/>
        </w:rPr>
        <w:t>primate</w:t>
      </w:r>
      <w:r>
        <w:rPr>
          <w:color w:val="231F20"/>
          <w:spacing w:val="-3"/>
          <w:sz w:val="15"/>
        </w:rPr>
        <w:t> </w:t>
      </w:r>
      <w:r>
        <w:rPr>
          <w:color w:val="231F20"/>
          <w:sz w:val="15"/>
        </w:rPr>
        <w:t>model</w:t>
      </w:r>
      <w:r>
        <w:rPr>
          <w:color w:val="231F20"/>
          <w:spacing w:val="-3"/>
          <w:sz w:val="15"/>
        </w:rPr>
        <w:t> </w:t>
      </w:r>
      <w:r>
        <w:rPr>
          <w:color w:val="231F20"/>
          <w:sz w:val="15"/>
        </w:rPr>
        <w:t>of</w:t>
      </w:r>
      <w:r>
        <w:rPr>
          <w:color w:val="231F20"/>
          <w:spacing w:val="-2"/>
          <w:sz w:val="15"/>
        </w:rPr>
        <w:t> </w:t>
      </w:r>
      <w:r>
        <w:rPr>
          <w:color w:val="231F20"/>
          <w:sz w:val="15"/>
        </w:rPr>
        <w:t>genetic</w:t>
      </w:r>
      <w:r>
        <w:rPr>
          <w:color w:val="231F20"/>
          <w:spacing w:val="-3"/>
          <w:sz w:val="15"/>
        </w:rPr>
        <w:t> </w:t>
      </w:r>
      <w:r>
        <w:rPr>
          <w:color w:val="231F20"/>
          <w:sz w:val="15"/>
        </w:rPr>
        <w:t>generalized</w:t>
      </w:r>
      <w:r>
        <w:rPr>
          <w:color w:val="231F20"/>
          <w:spacing w:val="-3"/>
          <w:sz w:val="15"/>
        </w:rPr>
        <w:t> </w:t>
      </w:r>
      <w:r>
        <w:rPr>
          <w:color w:val="231F20"/>
          <w:sz w:val="15"/>
        </w:rPr>
        <w:t>epilepsy.</w:t>
      </w:r>
      <w:r>
        <w:rPr>
          <w:color w:val="231F20"/>
          <w:spacing w:val="-2"/>
          <w:sz w:val="15"/>
        </w:rPr>
        <w:t> </w:t>
      </w:r>
      <w:r>
        <w:rPr>
          <w:i/>
          <w:color w:val="231F20"/>
          <w:sz w:val="15"/>
        </w:rPr>
        <w:t>Epilepsy</w:t>
      </w:r>
      <w:r>
        <w:rPr>
          <w:i/>
          <w:color w:val="231F20"/>
          <w:spacing w:val="-3"/>
          <w:sz w:val="15"/>
        </w:rPr>
        <w:t> </w:t>
      </w:r>
      <w:r>
        <w:rPr>
          <w:i/>
          <w:color w:val="231F20"/>
          <w:sz w:val="15"/>
        </w:rPr>
        <w:t>Res.</w:t>
      </w:r>
      <w:r>
        <w:rPr>
          <w:i/>
          <w:color w:val="231F20"/>
          <w:spacing w:val="-4"/>
          <w:sz w:val="15"/>
        </w:rPr>
        <w:t> </w:t>
      </w:r>
      <w:r>
        <w:rPr>
          <w:color w:val="231F20"/>
          <w:sz w:val="15"/>
        </w:rPr>
        <w:t>138,</w:t>
      </w:r>
      <w:r>
        <w:rPr>
          <w:color w:val="231F20"/>
          <w:spacing w:val="-2"/>
          <w:sz w:val="15"/>
        </w:rPr>
        <w:t> </w:t>
      </w:r>
      <w:r>
        <w:rPr>
          <w:color w:val="231F20"/>
          <w:sz w:val="15"/>
        </w:rPr>
        <w:t>46–52.</w:t>
      </w:r>
      <w:bookmarkStart w:name="_bookmark103" w:id="121"/>
      <w:bookmarkEnd w:id="121"/>
      <w:r>
        <w:rPr>
          <w:color w:val="231F20"/>
          <w:sz w:val="15"/>
        </w:rPr>
      </w:r>
      <w:r>
        <w:rPr>
          <w:color w:val="231F20"/>
          <w:sz w:val="15"/>
        </w:rPr>
        <w:t> </w:t>
      </w:r>
      <w:hyperlink r:id="rId128">
        <w:r>
          <w:rPr>
            <w:color w:val="231F20"/>
            <w:sz w:val="15"/>
          </w:rPr>
          <w:t>doi:</w:t>
        </w:r>
        <w:r>
          <w:rPr>
            <w:color w:val="231F20"/>
            <w:spacing w:val="-1"/>
            <w:sz w:val="15"/>
          </w:rPr>
          <w:t> </w:t>
        </w:r>
        <w:r>
          <w:rPr>
            <w:color w:val="231F20"/>
            <w:sz w:val="15"/>
          </w:rPr>
          <w:t>10.1016/j.eplepsyres.2017.10.010</w:t>
        </w:r>
      </w:hyperlink>
    </w:p>
    <w:p>
      <w:pPr>
        <w:spacing w:line="223" w:lineRule="auto" w:before="1"/>
        <w:ind w:left="358" w:right="155" w:hanging="200"/>
        <w:jc w:val="both"/>
        <w:rPr>
          <w:sz w:val="15"/>
        </w:rPr>
      </w:pPr>
      <w:r>
        <w:rPr>
          <w:color w:val="231F20"/>
          <w:sz w:val="15"/>
        </w:rPr>
        <w:t>Tarnaud,  T.,  Joseph,  W.,  Martens,  L.,  and  </w:t>
      </w:r>
      <w:r>
        <w:rPr>
          <w:color w:val="231F20"/>
          <w:spacing w:val="-3"/>
          <w:sz w:val="15"/>
        </w:rPr>
        <w:t>Tanghe,  </w:t>
      </w:r>
      <w:r>
        <w:rPr>
          <w:color w:val="231F20"/>
          <w:sz w:val="15"/>
        </w:rPr>
        <w:t>E.  (2018).  Dependence  </w:t>
      </w:r>
      <w:r>
        <w:rPr>
          <w:color w:val="231F20"/>
          <w:spacing w:val="34"/>
          <w:sz w:val="15"/>
        </w:rPr>
        <w:t> </w:t>
      </w:r>
      <w:r>
        <w:rPr>
          <w:color w:val="231F20"/>
          <w:sz w:val="15"/>
        </w:rPr>
        <w:t>of excitability indices on membrane channel dynamics, myelin impedance, electrode location and stimulus waveforms in myelinated and unmyelinated</w:t>
      </w:r>
      <w:r>
        <w:rPr>
          <w:color w:val="231F20"/>
          <w:spacing w:val="34"/>
          <w:sz w:val="15"/>
        </w:rPr>
        <w:t> </w:t>
      </w:r>
      <w:r>
        <w:rPr>
          <w:color w:val="231F20"/>
          <w:sz w:val="15"/>
        </w:rPr>
        <w:t>fibre</w:t>
      </w:r>
      <w:r>
        <w:rPr>
          <w:color w:val="231F20"/>
          <w:spacing w:val="-4"/>
          <w:sz w:val="15"/>
        </w:rPr>
        <w:t> </w:t>
      </w:r>
      <w:r>
        <w:rPr>
          <w:color w:val="231F20"/>
          <w:sz w:val="15"/>
        </w:rPr>
        <w:t>models.</w:t>
      </w:r>
      <w:r>
        <w:rPr>
          <w:color w:val="231F20"/>
          <w:spacing w:val="-4"/>
          <w:sz w:val="15"/>
        </w:rPr>
        <w:t> </w:t>
      </w:r>
      <w:r>
        <w:rPr>
          <w:i/>
          <w:color w:val="231F20"/>
          <w:sz w:val="15"/>
        </w:rPr>
        <w:t>Med.</w:t>
      </w:r>
      <w:r>
        <w:rPr>
          <w:i/>
          <w:color w:val="231F20"/>
          <w:spacing w:val="-4"/>
          <w:sz w:val="15"/>
        </w:rPr>
        <w:t> </w:t>
      </w:r>
      <w:r>
        <w:rPr>
          <w:i/>
          <w:color w:val="231F20"/>
          <w:sz w:val="15"/>
        </w:rPr>
        <w:t>Biol.</w:t>
      </w:r>
      <w:r>
        <w:rPr>
          <w:i/>
          <w:color w:val="231F20"/>
          <w:spacing w:val="-4"/>
          <w:sz w:val="15"/>
        </w:rPr>
        <w:t> </w:t>
      </w:r>
      <w:r>
        <w:rPr>
          <w:i/>
          <w:color w:val="231F20"/>
          <w:sz w:val="15"/>
        </w:rPr>
        <w:t>Eng.</w:t>
      </w:r>
      <w:r>
        <w:rPr>
          <w:i/>
          <w:color w:val="231F20"/>
          <w:spacing w:val="-4"/>
          <w:sz w:val="15"/>
        </w:rPr>
        <w:t> </w:t>
      </w:r>
      <w:r>
        <w:rPr>
          <w:i/>
          <w:color w:val="231F20"/>
          <w:sz w:val="15"/>
        </w:rPr>
        <w:t>Comput.</w:t>
      </w:r>
      <w:r>
        <w:rPr>
          <w:i/>
          <w:color w:val="231F20"/>
          <w:spacing w:val="-3"/>
          <w:sz w:val="15"/>
        </w:rPr>
        <w:t> </w:t>
      </w:r>
      <w:r>
        <w:rPr>
          <w:color w:val="231F20"/>
          <w:sz w:val="15"/>
        </w:rPr>
        <w:t>56,</w:t>
      </w:r>
      <w:r>
        <w:rPr>
          <w:color w:val="231F20"/>
          <w:spacing w:val="-4"/>
          <w:sz w:val="15"/>
        </w:rPr>
        <w:t> </w:t>
      </w:r>
      <w:r>
        <w:rPr>
          <w:color w:val="231F20"/>
          <w:sz w:val="15"/>
        </w:rPr>
        <w:t>1595–1613.</w:t>
      </w:r>
      <w:r>
        <w:rPr>
          <w:color w:val="231F20"/>
          <w:spacing w:val="-4"/>
          <w:sz w:val="15"/>
        </w:rPr>
        <w:t> </w:t>
      </w:r>
      <w:hyperlink r:id="rId129">
        <w:r>
          <w:rPr>
            <w:color w:val="231F20"/>
            <w:sz w:val="15"/>
          </w:rPr>
          <w:t>doi:</w:t>
        </w:r>
        <w:r>
          <w:rPr>
            <w:color w:val="231F20"/>
            <w:spacing w:val="-4"/>
            <w:sz w:val="15"/>
          </w:rPr>
          <w:t> </w:t>
        </w:r>
        <w:r>
          <w:rPr>
            <w:color w:val="231F20"/>
            <w:sz w:val="15"/>
          </w:rPr>
          <w:t>10.1007/s11517-018-</w:t>
        </w:r>
      </w:hyperlink>
      <w:bookmarkStart w:name="_bookmark104" w:id="122"/>
      <w:bookmarkEnd w:id="122"/>
      <w:r>
        <w:rPr>
          <w:color w:val="231F20"/>
          <w:sz w:val="15"/>
        </w:rPr>
      </w:r>
      <w:r>
        <w:rPr>
          <w:color w:val="231F20"/>
          <w:sz w:val="15"/>
        </w:rPr>
        <w:t> </w:t>
      </w:r>
      <w:hyperlink r:id="rId129">
        <w:r>
          <w:rPr>
            <w:color w:val="231F20"/>
            <w:sz w:val="15"/>
          </w:rPr>
          <w:t>1799-y</w:t>
        </w:r>
      </w:hyperlink>
    </w:p>
    <w:p>
      <w:pPr>
        <w:spacing w:line="223" w:lineRule="auto" w:before="4"/>
        <w:ind w:left="358" w:right="155" w:hanging="200"/>
        <w:jc w:val="both"/>
        <w:rPr>
          <w:sz w:val="15"/>
        </w:rPr>
      </w:pPr>
      <w:r>
        <w:rPr>
          <w:color w:val="231F20"/>
          <w:sz w:val="15"/>
        </w:rPr>
        <w:t>Tekdemir,</w:t>
      </w:r>
      <w:r>
        <w:rPr>
          <w:color w:val="231F20"/>
          <w:spacing w:val="34"/>
          <w:sz w:val="15"/>
        </w:rPr>
        <w:t> </w:t>
      </w:r>
      <w:r>
        <w:rPr>
          <w:color w:val="231F20"/>
          <w:sz w:val="15"/>
        </w:rPr>
        <w:t>I.,  Aslan,  A.,  and   Elhan,   A.   (1998).   A   clinico-anatomic   study of</w:t>
      </w:r>
      <w:r>
        <w:rPr>
          <w:color w:val="231F20"/>
          <w:spacing w:val="34"/>
          <w:sz w:val="15"/>
        </w:rPr>
        <w:t> </w:t>
      </w:r>
      <w:r>
        <w:rPr>
          <w:color w:val="231F20"/>
          <w:sz w:val="15"/>
        </w:rPr>
        <w:t>the  auricular  branch  of  the  vagus  nerve  and   </w:t>
      </w:r>
      <w:r>
        <w:rPr>
          <w:color w:val="231F20"/>
          <w:spacing w:val="-3"/>
          <w:sz w:val="15"/>
        </w:rPr>
        <w:t>Arnold’s  </w:t>
      </w:r>
      <w:r>
        <w:rPr>
          <w:color w:val="231F20"/>
          <w:sz w:val="15"/>
        </w:rPr>
        <w:t>ear-cough   reflex.</w:t>
      </w:r>
      <w:r>
        <w:rPr>
          <w:color w:val="231F20"/>
          <w:spacing w:val="34"/>
          <w:sz w:val="15"/>
        </w:rPr>
        <w:t> </w:t>
      </w:r>
      <w:r>
        <w:rPr>
          <w:i/>
          <w:color w:val="231F20"/>
          <w:sz w:val="15"/>
        </w:rPr>
        <w:t>Surg.   Radiol.   Anat.   </w:t>
      </w:r>
      <w:r>
        <w:rPr>
          <w:color w:val="231F20"/>
          <w:sz w:val="15"/>
        </w:rPr>
        <w:t>20,   253–257.   </w:t>
      </w:r>
      <w:hyperlink r:id="rId130">
        <w:r>
          <w:rPr>
            <w:color w:val="231F20"/>
            <w:sz w:val="15"/>
          </w:rPr>
          <w:t>doi:   10.1007/s00276-998-</w:t>
        </w:r>
      </w:hyperlink>
      <w:bookmarkStart w:name="_bookmark105" w:id="123"/>
      <w:bookmarkEnd w:id="123"/>
      <w:r>
        <w:rPr>
          <w:color w:val="231F20"/>
          <w:sz w:val="15"/>
        </w:rPr>
      </w:r>
      <w:r>
        <w:rPr>
          <w:color w:val="231F20"/>
          <w:sz w:val="15"/>
        </w:rPr>
        <w:t> </w:t>
      </w:r>
      <w:hyperlink r:id="rId130">
        <w:r>
          <w:rPr>
            <w:color w:val="231F20"/>
            <w:sz w:val="15"/>
          </w:rPr>
          <w:t>0253-5</w:t>
        </w:r>
      </w:hyperlink>
    </w:p>
    <w:p>
      <w:pPr>
        <w:spacing w:line="223" w:lineRule="auto" w:before="3"/>
        <w:ind w:left="358" w:right="155" w:hanging="200"/>
        <w:jc w:val="both"/>
        <w:rPr>
          <w:sz w:val="15"/>
        </w:rPr>
      </w:pPr>
      <w:r>
        <w:rPr>
          <w:color w:val="231F20"/>
          <w:sz w:val="15"/>
        </w:rPr>
        <w:t>Tilotta, F., Lazaroo, B., Laujac, M.-H., and Gaudy, J.-F. (2008). A study of the vascularization of the auricle by dissection and diaphanization. </w:t>
      </w:r>
      <w:r>
        <w:rPr>
          <w:i/>
          <w:color w:val="231F20"/>
          <w:sz w:val="15"/>
        </w:rPr>
        <w:t>Surg. Radiol. </w:t>
      </w:r>
      <w:r>
        <w:rPr>
          <w:i/>
          <w:color w:val="231F20"/>
          <w:sz w:val="15"/>
        </w:rPr>
        <w:t>Anat. </w:t>
      </w:r>
      <w:hyperlink r:id="rId131">
        <w:r>
          <w:rPr>
            <w:color w:val="231F20"/>
            <w:sz w:val="15"/>
          </w:rPr>
          <w:t>31, 259–265. doi: 10.1007/s00276-008-0438-y</w:t>
        </w:r>
      </w:hyperlink>
    </w:p>
    <w:p>
      <w:pPr>
        <w:spacing w:after="0" w:line="223" w:lineRule="auto"/>
        <w:jc w:val="both"/>
        <w:rPr>
          <w:sz w:val="15"/>
        </w:rPr>
        <w:sectPr>
          <w:type w:val="continuous"/>
          <w:pgSz w:w="11910" w:h="15600"/>
          <w:pgMar w:top="520" w:bottom="780" w:left="740" w:right="740"/>
          <w:cols w:num="2" w:equalWidth="0">
            <w:col w:w="5101" w:space="67"/>
            <w:col w:w="5262"/>
          </w:cols>
        </w:sectPr>
      </w:pPr>
    </w:p>
    <w:p>
      <w:pPr>
        <w:pStyle w:val="BodyText"/>
        <w:spacing w:before="3"/>
        <w:ind w:left="0"/>
        <w:rPr>
          <w:sz w:val="22"/>
        </w:rPr>
      </w:pPr>
    </w:p>
    <w:p>
      <w:pPr>
        <w:spacing w:after="0"/>
        <w:rPr>
          <w:sz w:val="22"/>
        </w:rPr>
        <w:sectPr>
          <w:pgSz w:w="11910" w:h="15600"/>
          <w:pgMar w:header="560" w:footer="588" w:top="840" w:bottom="780" w:left="740" w:right="740"/>
        </w:sectPr>
      </w:pPr>
    </w:p>
    <w:p>
      <w:pPr>
        <w:spacing w:line="223" w:lineRule="auto" w:before="100"/>
        <w:ind w:left="358" w:right="0" w:hanging="200"/>
        <w:jc w:val="both"/>
        <w:rPr>
          <w:sz w:val="15"/>
        </w:rPr>
      </w:pPr>
      <w:bookmarkStart w:name="_bookmark106" w:id="124"/>
      <w:bookmarkEnd w:id="124"/>
      <w:r>
        <w:rPr/>
      </w:r>
      <w:r>
        <w:rPr>
          <w:color w:val="231F20"/>
          <w:sz w:val="15"/>
        </w:rPr>
        <w:t>Tosato,</w:t>
      </w:r>
      <w:r>
        <w:rPr>
          <w:color w:val="231F20"/>
          <w:spacing w:val="-5"/>
          <w:sz w:val="15"/>
        </w:rPr>
        <w:t> </w:t>
      </w:r>
      <w:r>
        <w:rPr>
          <w:color w:val="231F20"/>
          <w:sz w:val="15"/>
        </w:rPr>
        <w:t>M.,</w:t>
      </w:r>
      <w:r>
        <w:rPr>
          <w:color w:val="231F20"/>
          <w:spacing w:val="-4"/>
          <w:sz w:val="15"/>
        </w:rPr>
        <w:t> </w:t>
      </w:r>
      <w:r>
        <w:rPr>
          <w:color w:val="231F20"/>
          <w:sz w:val="15"/>
        </w:rPr>
        <w:t>Yoshida,</w:t>
      </w:r>
      <w:r>
        <w:rPr>
          <w:color w:val="231F20"/>
          <w:spacing w:val="-4"/>
          <w:sz w:val="15"/>
        </w:rPr>
        <w:t> </w:t>
      </w:r>
      <w:r>
        <w:rPr>
          <w:color w:val="231F20"/>
          <w:sz w:val="15"/>
        </w:rPr>
        <w:t>K.,</w:t>
      </w:r>
      <w:r>
        <w:rPr>
          <w:color w:val="231F20"/>
          <w:spacing w:val="-4"/>
          <w:sz w:val="15"/>
        </w:rPr>
        <w:t> </w:t>
      </w:r>
      <w:r>
        <w:rPr>
          <w:color w:val="231F20"/>
          <w:sz w:val="15"/>
        </w:rPr>
        <w:t>Toft,</w:t>
      </w:r>
      <w:r>
        <w:rPr>
          <w:color w:val="231F20"/>
          <w:spacing w:val="-5"/>
          <w:sz w:val="15"/>
        </w:rPr>
        <w:t> </w:t>
      </w:r>
      <w:r>
        <w:rPr>
          <w:color w:val="231F20"/>
          <w:sz w:val="15"/>
        </w:rPr>
        <w:t>E.,</w:t>
      </w:r>
      <w:r>
        <w:rPr>
          <w:color w:val="231F20"/>
          <w:spacing w:val="-4"/>
          <w:sz w:val="15"/>
        </w:rPr>
        <w:t> </w:t>
      </w:r>
      <w:r>
        <w:rPr>
          <w:color w:val="231F20"/>
          <w:sz w:val="15"/>
        </w:rPr>
        <w:t>Nekrasas,</w:t>
      </w:r>
      <w:r>
        <w:rPr>
          <w:color w:val="231F20"/>
          <w:spacing w:val="-4"/>
          <w:sz w:val="15"/>
        </w:rPr>
        <w:t> </w:t>
      </w:r>
      <w:r>
        <w:rPr>
          <w:color w:val="231F20"/>
          <w:sz w:val="15"/>
        </w:rPr>
        <w:t>V.,</w:t>
      </w:r>
      <w:r>
        <w:rPr>
          <w:color w:val="231F20"/>
          <w:spacing w:val="-4"/>
          <w:sz w:val="15"/>
        </w:rPr>
        <w:t> </w:t>
      </w:r>
      <w:r>
        <w:rPr>
          <w:color w:val="231F20"/>
          <w:sz w:val="15"/>
        </w:rPr>
        <w:t>and</w:t>
      </w:r>
      <w:r>
        <w:rPr>
          <w:color w:val="231F20"/>
          <w:spacing w:val="-4"/>
          <w:sz w:val="15"/>
        </w:rPr>
        <w:t> </w:t>
      </w:r>
      <w:r>
        <w:rPr>
          <w:color w:val="231F20"/>
          <w:sz w:val="15"/>
        </w:rPr>
        <w:t>Struijk,</w:t>
      </w:r>
      <w:r>
        <w:rPr>
          <w:color w:val="231F20"/>
          <w:spacing w:val="-5"/>
          <w:sz w:val="15"/>
        </w:rPr>
        <w:t> </w:t>
      </w:r>
      <w:r>
        <w:rPr>
          <w:color w:val="231F20"/>
          <w:sz w:val="15"/>
        </w:rPr>
        <w:t>J.</w:t>
      </w:r>
      <w:r>
        <w:rPr>
          <w:color w:val="231F20"/>
          <w:spacing w:val="-4"/>
          <w:sz w:val="15"/>
        </w:rPr>
        <w:t> </w:t>
      </w:r>
      <w:r>
        <w:rPr>
          <w:color w:val="231F20"/>
          <w:sz w:val="15"/>
        </w:rPr>
        <w:t>J.</w:t>
      </w:r>
      <w:r>
        <w:rPr>
          <w:color w:val="231F20"/>
          <w:spacing w:val="-4"/>
          <w:sz w:val="15"/>
        </w:rPr>
        <w:t> </w:t>
      </w:r>
      <w:r>
        <w:rPr>
          <w:color w:val="231F20"/>
          <w:sz w:val="15"/>
        </w:rPr>
        <w:t>(2006).</w:t>
      </w:r>
      <w:r>
        <w:rPr>
          <w:color w:val="231F20"/>
          <w:spacing w:val="-4"/>
          <w:sz w:val="15"/>
        </w:rPr>
        <w:t> </w:t>
      </w:r>
      <w:r>
        <w:rPr>
          <w:color w:val="231F20"/>
          <w:sz w:val="15"/>
        </w:rPr>
        <w:t>Closed-loop control of the heart rate by electrical stimulation of the vagus nerve. </w:t>
      </w:r>
      <w:r>
        <w:rPr>
          <w:i/>
          <w:color w:val="231F20"/>
          <w:sz w:val="15"/>
        </w:rPr>
        <w:t>Med. Biol.</w:t>
      </w:r>
      <w:bookmarkStart w:name="_bookmark107" w:id="125"/>
      <w:bookmarkEnd w:id="125"/>
      <w:r>
        <w:rPr>
          <w:i/>
          <w:color w:val="231F20"/>
          <w:sz w:val="15"/>
        </w:rPr>
      </w:r>
      <w:r>
        <w:rPr>
          <w:i/>
          <w:color w:val="231F20"/>
          <w:sz w:val="15"/>
        </w:rPr>
        <w:t> </w:t>
      </w:r>
      <w:r>
        <w:rPr>
          <w:i/>
          <w:color w:val="231F20"/>
          <w:sz w:val="15"/>
        </w:rPr>
        <w:t>Eng. Comput. </w:t>
      </w:r>
      <w:hyperlink r:id="rId132">
        <w:r>
          <w:rPr>
            <w:color w:val="231F20"/>
            <w:sz w:val="15"/>
          </w:rPr>
          <w:t>44, 161–169. doi:</w:t>
        </w:r>
        <w:r>
          <w:rPr>
            <w:color w:val="231F20"/>
            <w:spacing w:val="2"/>
            <w:sz w:val="15"/>
          </w:rPr>
          <w:t> </w:t>
        </w:r>
        <w:r>
          <w:rPr>
            <w:color w:val="231F20"/>
            <w:sz w:val="15"/>
          </w:rPr>
          <w:t>10.1007/s11517-006-0037-1</w:t>
        </w:r>
      </w:hyperlink>
    </w:p>
    <w:p>
      <w:pPr>
        <w:spacing w:line="223" w:lineRule="auto" w:before="0"/>
        <w:ind w:left="358" w:right="0" w:hanging="200"/>
        <w:jc w:val="both"/>
        <w:rPr>
          <w:sz w:val="15"/>
        </w:rPr>
      </w:pPr>
      <w:r>
        <w:rPr>
          <w:color w:val="231F20"/>
          <w:sz w:val="15"/>
        </w:rPr>
        <w:t>Ward,  M.  P.,  Qing,  K.  Y.,  Otto,  K.  J.,  Worth,  R.  M.,  John,  S.  W.  </w:t>
      </w:r>
      <w:r>
        <w:rPr>
          <w:color w:val="231F20"/>
          <w:spacing w:val="-6"/>
          <w:sz w:val="15"/>
        </w:rPr>
        <w:t>M.,         </w:t>
      </w:r>
      <w:r>
        <w:rPr>
          <w:color w:val="231F20"/>
          <w:sz w:val="15"/>
        </w:rPr>
        <w:t>and Irazoqui, P. P. (2014). A flexible  platform  for  biofeedback-driven</w:t>
      </w:r>
      <w:r>
        <w:rPr>
          <w:color w:val="231F20"/>
          <w:spacing w:val="34"/>
          <w:sz w:val="15"/>
        </w:rPr>
        <w:t> </w:t>
      </w:r>
      <w:r>
        <w:rPr>
          <w:color w:val="231F20"/>
          <w:sz w:val="15"/>
        </w:rPr>
        <w:t>control and personalization of electrical nerve stimulation therapy. </w:t>
      </w:r>
      <w:r>
        <w:rPr>
          <w:i/>
          <w:color w:val="231F20"/>
          <w:sz w:val="15"/>
        </w:rPr>
        <w:t>IEEE </w:t>
      </w:r>
      <w:r>
        <w:rPr>
          <w:i/>
          <w:color w:val="231F20"/>
          <w:sz w:val="15"/>
        </w:rPr>
        <w:t>Trans. Neural. Syst. Rehabil. Eng. </w:t>
      </w:r>
      <w:r>
        <w:rPr>
          <w:color w:val="231F20"/>
          <w:sz w:val="15"/>
        </w:rPr>
        <w:t>23, 475–484. </w:t>
      </w:r>
      <w:hyperlink r:id="rId133">
        <w:r>
          <w:rPr>
            <w:color w:val="231F20"/>
            <w:sz w:val="15"/>
          </w:rPr>
          <w:t>doi: 10.1109/TNSRE.2014.235</w:t>
        </w:r>
      </w:hyperlink>
      <w:bookmarkStart w:name="_bookmark108" w:id="126"/>
      <w:bookmarkEnd w:id="126"/>
      <w:r>
        <w:rPr>
          <w:color w:val="231F20"/>
          <w:sz w:val="15"/>
        </w:rPr>
      </w:r>
      <w:r>
        <w:rPr>
          <w:color w:val="231F20"/>
          <w:sz w:val="15"/>
        </w:rPr>
        <w:t> </w:t>
      </w:r>
      <w:hyperlink r:id="rId133">
        <w:r>
          <w:rPr>
            <w:color w:val="231F20"/>
            <w:sz w:val="15"/>
          </w:rPr>
          <w:t>1271</w:t>
        </w:r>
      </w:hyperlink>
    </w:p>
    <w:p>
      <w:pPr>
        <w:spacing w:line="223" w:lineRule="auto" w:before="2"/>
        <w:ind w:left="358" w:right="0" w:hanging="200"/>
        <w:jc w:val="both"/>
        <w:rPr>
          <w:sz w:val="15"/>
        </w:rPr>
      </w:pPr>
      <w:r>
        <w:rPr>
          <w:color w:val="231F20"/>
          <w:sz w:val="15"/>
        </w:rPr>
        <w:t>Yakunina, N., Kim, S. S., and Nam, E.-C. (2016). Optimization of transcutaneous vagus nerve stimulation using functional MRI. </w:t>
      </w:r>
      <w:r>
        <w:rPr>
          <w:i/>
          <w:color w:val="231F20"/>
          <w:sz w:val="15"/>
        </w:rPr>
        <w:t>Neuromodulation </w:t>
      </w:r>
      <w:r>
        <w:rPr>
          <w:color w:val="231F20"/>
          <w:sz w:val="15"/>
        </w:rPr>
        <w:t>20, 290–300.</w:t>
      </w:r>
      <w:bookmarkStart w:name="_bookmark109" w:id="127"/>
      <w:bookmarkEnd w:id="127"/>
      <w:r>
        <w:rPr>
          <w:color w:val="231F20"/>
          <w:sz w:val="15"/>
        </w:rPr>
      </w:r>
      <w:r>
        <w:rPr>
          <w:color w:val="231F20"/>
          <w:sz w:val="15"/>
        </w:rPr>
        <w:t> </w:t>
      </w:r>
      <w:hyperlink r:id="rId134">
        <w:r>
          <w:rPr>
            <w:color w:val="231F20"/>
            <w:sz w:val="15"/>
          </w:rPr>
          <w:t>doi: 10.1111/ner.12541</w:t>
        </w:r>
      </w:hyperlink>
    </w:p>
    <w:p>
      <w:pPr>
        <w:spacing w:line="223" w:lineRule="auto" w:before="1"/>
        <w:ind w:left="159" w:right="0" w:firstLine="0"/>
        <w:jc w:val="right"/>
        <w:rPr>
          <w:sz w:val="15"/>
        </w:rPr>
      </w:pPr>
      <w:r>
        <w:rPr>
          <w:color w:val="231F20"/>
          <w:sz w:val="15"/>
        </w:rPr>
        <w:t>Yuan, H., and Silberstein, S. D. (2015). </w:t>
      </w:r>
      <w:r>
        <w:rPr>
          <w:color w:val="231F20"/>
          <w:spacing w:val="-4"/>
          <w:sz w:val="15"/>
        </w:rPr>
        <w:t>Vagus </w:t>
      </w:r>
      <w:r>
        <w:rPr>
          <w:color w:val="231F20"/>
          <w:sz w:val="15"/>
        </w:rPr>
        <w:t>nerve and vagus nerve</w:t>
      </w:r>
      <w:r>
        <w:rPr>
          <w:color w:val="231F20"/>
          <w:spacing w:val="-2"/>
          <w:sz w:val="15"/>
        </w:rPr>
        <w:t> </w:t>
      </w:r>
      <w:r>
        <w:rPr>
          <w:color w:val="231F20"/>
          <w:sz w:val="15"/>
        </w:rPr>
        <w:t>stimulation, a </w:t>
      </w:r>
      <w:bookmarkStart w:name="_bookmark110" w:id="128"/>
      <w:bookmarkEnd w:id="128"/>
      <w:r>
        <w:rPr>
          <w:color w:val="231F20"/>
          <w:sz w:val="15"/>
        </w:rPr>
      </w:r>
      <w:r>
        <w:rPr>
          <w:color w:val="231F20"/>
          <w:sz w:val="15"/>
        </w:rPr>
        <w:t>comprehensive</w:t>
      </w:r>
      <w:r>
        <w:rPr>
          <w:color w:val="231F20"/>
          <w:spacing w:val="-5"/>
          <w:sz w:val="15"/>
        </w:rPr>
        <w:t> </w:t>
      </w:r>
      <w:r>
        <w:rPr>
          <w:color w:val="231F20"/>
          <w:sz w:val="15"/>
        </w:rPr>
        <w:t>review:</w:t>
      </w:r>
      <w:r>
        <w:rPr>
          <w:color w:val="231F20"/>
          <w:spacing w:val="-5"/>
          <w:sz w:val="15"/>
        </w:rPr>
        <w:t> </w:t>
      </w:r>
      <w:r>
        <w:rPr>
          <w:color w:val="231F20"/>
          <w:sz w:val="15"/>
        </w:rPr>
        <w:t>part</w:t>
      </w:r>
      <w:r>
        <w:rPr>
          <w:color w:val="231F20"/>
          <w:spacing w:val="-4"/>
          <w:sz w:val="15"/>
        </w:rPr>
        <w:t> </w:t>
      </w:r>
      <w:r>
        <w:rPr>
          <w:color w:val="231F20"/>
          <w:sz w:val="15"/>
        </w:rPr>
        <w:t>II.</w:t>
      </w:r>
      <w:r>
        <w:rPr>
          <w:color w:val="231F20"/>
          <w:spacing w:val="-5"/>
          <w:sz w:val="15"/>
        </w:rPr>
        <w:t> </w:t>
      </w:r>
      <w:r>
        <w:rPr>
          <w:i/>
          <w:color w:val="231F20"/>
          <w:sz w:val="15"/>
        </w:rPr>
        <w:t>Headache</w:t>
      </w:r>
      <w:r>
        <w:rPr>
          <w:i/>
          <w:color w:val="231F20"/>
          <w:spacing w:val="-5"/>
          <w:sz w:val="15"/>
        </w:rPr>
        <w:t> </w:t>
      </w:r>
      <w:r>
        <w:rPr>
          <w:color w:val="231F20"/>
          <w:sz w:val="15"/>
        </w:rPr>
        <w:t>56,</w:t>
      </w:r>
      <w:r>
        <w:rPr>
          <w:color w:val="231F20"/>
          <w:spacing w:val="-4"/>
          <w:sz w:val="15"/>
        </w:rPr>
        <w:t> </w:t>
      </w:r>
      <w:r>
        <w:rPr>
          <w:color w:val="231F20"/>
          <w:sz w:val="15"/>
        </w:rPr>
        <w:t>259–266.</w:t>
      </w:r>
      <w:r>
        <w:rPr>
          <w:color w:val="231F20"/>
          <w:spacing w:val="-5"/>
          <w:sz w:val="15"/>
        </w:rPr>
        <w:t> </w:t>
      </w:r>
      <w:hyperlink r:id="rId135">
        <w:r>
          <w:rPr>
            <w:color w:val="231F20"/>
            <w:sz w:val="15"/>
          </w:rPr>
          <w:t>doi:</w:t>
        </w:r>
        <w:r>
          <w:rPr>
            <w:color w:val="231F20"/>
            <w:spacing w:val="-4"/>
            <w:sz w:val="15"/>
          </w:rPr>
          <w:t> </w:t>
        </w:r>
        <w:r>
          <w:rPr>
            <w:color w:val="231F20"/>
            <w:sz w:val="15"/>
          </w:rPr>
          <w:t>10.1111/head.12650</w:t>
        </w:r>
      </w:hyperlink>
      <w:r>
        <w:rPr>
          <w:color w:val="231F20"/>
          <w:sz w:val="15"/>
        </w:rPr>
        <w:t> Z</w:t>
      </w:r>
      <w:r>
        <w:rPr>
          <w:color w:val="231F20"/>
          <w:spacing w:val="-1"/>
          <w:sz w:val="15"/>
        </w:rPr>
        <w:t>h</w:t>
      </w:r>
      <w:r>
        <w:rPr>
          <w:color w:val="231F20"/>
          <w:sz w:val="15"/>
        </w:rPr>
        <w:t>ang,</w:t>
      </w:r>
      <w:r>
        <w:rPr>
          <w:color w:val="231F20"/>
          <w:spacing w:val="-7"/>
          <w:sz w:val="15"/>
        </w:rPr>
        <w:t> </w:t>
      </w:r>
      <w:r>
        <w:rPr>
          <w:color w:val="231F20"/>
          <w:sz w:val="15"/>
        </w:rPr>
        <w:t>Y.,</w:t>
      </w:r>
      <w:r>
        <w:rPr>
          <w:color w:val="231F20"/>
          <w:spacing w:val="-7"/>
          <w:sz w:val="15"/>
        </w:rPr>
        <w:t> </w:t>
      </w:r>
      <w:r>
        <w:rPr>
          <w:color w:val="231F20"/>
          <w:sz w:val="15"/>
        </w:rPr>
        <w:t>Mowrey,</w:t>
      </w:r>
      <w:r>
        <w:rPr>
          <w:color w:val="231F20"/>
          <w:spacing w:val="-7"/>
          <w:sz w:val="15"/>
        </w:rPr>
        <w:t> </w:t>
      </w:r>
      <w:r>
        <w:rPr>
          <w:color w:val="231F20"/>
          <w:sz w:val="15"/>
        </w:rPr>
        <w:t>K.</w:t>
      </w:r>
      <w:r>
        <w:rPr>
          <w:color w:val="231F20"/>
          <w:spacing w:val="-7"/>
          <w:sz w:val="15"/>
        </w:rPr>
        <w:t> </w:t>
      </w:r>
      <w:r>
        <w:rPr>
          <w:color w:val="231F20"/>
          <w:sz w:val="15"/>
        </w:rPr>
        <w:t>A.,</w:t>
      </w:r>
      <w:r>
        <w:rPr>
          <w:color w:val="231F20"/>
          <w:spacing w:val="-7"/>
          <w:sz w:val="15"/>
        </w:rPr>
        <w:t> </w:t>
      </w:r>
      <w:r>
        <w:rPr>
          <w:color w:val="231F20"/>
          <w:sz w:val="15"/>
        </w:rPr>
        <w:t>Zhuang,</w:t>
      </w:r>
      <w:r>
        <w:rPr>
          <w:color w:val="231F20"/>
          <w:spacing w:val="-7"/>
          <w:sz w:val="15"/>
        </w:rPr>
        <w:t> </w:t>
      </w:r>
      <w:r>
        <w:rPr>
          <w:color w:val="231F20"/>
          <w:sz w:val="15"/>
        </w:rPr>
        <w:t>S.,</w:t>
      </w:r>
      <w:r>
        <w:rPr>
          <w:color w:val="231F20"/>
          <w:spacing w:val="-7"/>
          <w:sz w:val="15"/>
        </w:rPr>
        <w:t> </w:t>
      </w:r>
      <w:r>
        <w:rPr>
          <w:color w:val="231F20"/>
          <w:sz w:val="15"/>
        </w:rPr>
        <w:t>Wallick,</w:t>
      </w:r>
      <w:r>
        <w:rPr>
          <w:color w:val="231F20"/>
          <w:spacing w:val="-7"/>
          <w:sz w:val="15"/>
        </w:rPr>
        <w:t> </w:t>
      </w:r>
      <w:r>
        <w:rPr>
          <w:color w:val="231F20"/>
          <w:sz w:val="15"/>
        </w:rPr>
        <w:t>D.</w:t>
      </w:r>
      <w:r>
        <w:rPr>
          <w:color w:val="231F20"/>
          <w:spacing w:val="-7"/>
          <w:sz w:val="15"/>
        </w:rPr>
        <w:t> </w:t>
      </w:r>
      <w:r>
        <w:rPr>
          <w:color w:val="231F20"/>
          <w:sz w:val="15"/>
        </w:rPr>
        <w:t>W.,</w:t>
      </w:r>
      <w:r>
        <w:rPr>
          <w:color w:val="231F20"/>
          <w:spacing w:val="-7"/>
          <w:sz w:val="15"/>
        </w:rPr>
        <w:t> </w:t>
      </w:r>
      <w:r>
        <w:rPr>
          <w:color w:val="231F20"/>
          <w:sz w:val="15"/>
        </w:rPr>
        <w:t>Popov</w:t>
      </w:r>
      <w:r>
        <w:rPr>
          <w:color w:val="231F20"/>
          <w:spacing w:val="-1"/>
          <w:sz w:val="15"/>
        </w:rPr>
        <w:t>i</w:t>
      </w:r>
      <w:r>
        <w:rPr>
          <w:color w:val="231F20"/>
          <w:spacing w:val="-62"/>
          <w:sz w:val="15"/>
        </w:rPr>
        <w:t>c</w:t>
      </w:r>
      <w:r>
        <w:rPr>
          <w:color w:val="231F20"/>
          <w:spacing w:val="1"/>
          <w:sz w:val="15"/>
        </w:rPr>
        <w:t>´</w:t>
      </w:r>
      <w:r>
        <w:rPr>
          <w:color w:val="231F20"/>
          <w:sz w:val="15"/>
        </w:rPr>
        <w:t>,</w:t>
      </w:r>
      <w:r>
        <w:rPr>
          <w:color w:val="231F20"/>
          <w:spacing w:val="-7"/>
          <w:sz w:val="15"/>
        </w:rPr>
        <w:t> </w:t>
      </w:r>
      <w:r>
        <w:rPr>
          <w:color w:val="231F20"/>
          <w:sz w:val="15"/>
        </w:rPr>
        <w:t>Z.</w:t>
      </w:r>
      <w:r>
        <w:rPr>
          <w:color w:val="231F20"/>
          <w:spacing w:val="-7"/>
          <w:sz w:val="15"/>
        </w:rPr>
        <w:t> </w:t>
      </w:r>
      <w:r>
        <w:rPr>
          <w:color w:val="231F20"/>
          <w:sz w:val="15"/>
        </w:rPr>
        <w:t>B.,</w:t>
      </w:r>
      <w:r>
        <w:rPr>
          <w:color w:val="231F20"/>
          <w:spacing w:val="-7"/>
          <w:sz w:val="15"/>
        </w:rPr>
        <w:t> </w:t>
      </w:r>
      <w:r>
        <w:rPr>
          <w:color w:val="231F20"/>
          <w:sz w:val="15"/>
        </w:rPr>
        <w:t>and</w:t>
      </w:r>
      <w:r>
        <w:rPr>
          <w:color w:val="231F20"/>
          <w:spacing w:val="-7"/>
          <w:sz w:val="15"/>
        </w:rPr>
        <w:t> </w:t>
      </w:r>
      <w:r>
        <w:rPr>
          <w:color w:val="231F20"/>
          <w:spacing w:val="-3"/>
          <w:sz w:val="15"/>
        </w:rPr>
        <w:t>M</w:t>
      </w:r>
      <w:r>
        <w:rPr>
          <w:color w:val="231F20"/>
          <w:sz w:val="15"/>
        </w:rPr>
        <w:t>az</w:t>
      </w:r>
      <w:r>
        <w:rPr>
          <w:color w:val="231F20"/>
          <w:spacing w:val="-1"/>
          <w:sz w:val="15"/>
        </w:rPr>
        <w:t>g</w:t>
      </w:r>
      <w:r>
        <w:rPr>
          <w:color w:val="231F20"/>
          <w:sz w:val="15"/>
        </w:rPr>
        <w:t>al</w:t>
      </w:r>
      <w:r>
        <w:rPr>
          <w:color w:val="231F20"/>
          <w:spacing w:val="1"/>
          <w:sz w:val="15"/>
        </w:rPr>
        <w:t>e</w:t>
      </w:r>
      <w:r>
        <w:rPr>
          <w:color w:val="231F20"/>
          <w:spacing w:val="-12"/>
          <w:sz w:val="15"/>
        </w:rPr>
        <w:t>v</w:t>
      </w:r>
      <w:r>
        <w:rPr>
          <w:color w:val="231F20"/>
          <w:sz w:val="15"/>
        </w:rPr>
        <w:t>,</w:t>
      </w:r>
    </w:p>
    <w:p>
      <w:pPr>
        <w:spacing w:line="223" w:lineRule="auto" w:before="2"/>
        <w:ind w:left="358" w:right="0" w:firstLine="0"/>
        <w:jc w:val="both"/>
        <w:rPr>
          <w:sz w:val="15"/>
        </w:rPr>
      </w:pPr>
      <w:r>
        <w:rPr>
          <w:color w:val="231F20"/>
          <w:sz w:val="15"/>
        </w:rPr>
        <w:t>T. N. (2002). Optimal ventricular rate slowing during atrial fibrillation by feedback AV nodal-selective vagal stimulation. </w:t>
      </w:r>
      <w:r>
        <w:rPr>
          <w:i/>
          <w:color w:val="231F20"/>
          <w:sz w:val="15"/>
        </w:rPr>
        <w:t>Am. J. Physiol. Heart Circ. </w:t>
      </w:r>
      <w:r>
        <w:rPr>
          <w:i/>
          <w:color w:val="231F20"/>
          <w:sz w:val="15"/>
        </w:rPr>
        <w:t>Physiol. </w:t>
      </w:r>
      <w:hyperlink r:id="rId136">
        <w:r>
          <w:rPr>
            <w:color w:val="231F20"/>
            <w:sz w:val="15"/>
          </w:rPr>
          <w:t>282, H1102–H1110. doi: 10.1152/ajpheart.00738.2001</w:t>
        </w:r>
      </w:hyperlink>
    </w:p>
    <w:p>
      <w:pPr>
        <w:spacing w:line="225" w:lineRule="auto" w:before="94"/>
        <w:ind w:left="159" w:right="155" w:firstLine="0"/>
        <w:jc w:val="both"/>
        <w:rPr>
          <w:sz w:val="15"/>
        </w:rPr>
      </w:pPr>
      <w:r>
        <w:rPr/>
        <w:br w:type="column"/>
      </w:r>
      <w:r>
        <w:rPr>
          <w:b/>
          <w:color w:val="231F20"/>
          <w:sz w:val="15"/>
        </w:rPr>
        <w:t>Conflict of Interest Statement: </w:t>
      </w:r>
      <w:r>
        <w:rPr>
          <w:color w:val="231F20"/>
          <w:sz w:val="15"/>
        </w:rPr>
        <w:t>EK, SL, and SK were employed by SzeleSTIM GmbH. JS received honoraria from SzeleSTIM GmbH and owns patents in </w:t>
      </w:r>
      <w:r>
        <w:rPr>
          <w:color w:val="231F20"/>
          <w:spacing w:val="-4"/>
          <w:sz w:val="15"/>
        </w:rPr>
        <w:t>the </w:t>
      </w:r>
      <w:r>
        <w:rPr>
          <w:color w:val="231F20"/>
          <w:sz w:val="15"/>
        </w:rPr>
        <w:t>field of the auricular vagus nerve stimulation. EK, SK, and JS were shareholders of SzeleSTIM</w:t>
      </w:r>
      <w:r>
        <w:rPr>
          <w:color w:val="231F20"/>
          <w:spacing w:val="-1"/>
          <w:sz w:val="15"/>
        </w:rPr>
        <w:t> </w:t>
      </w:r>
      <w:r>
        <w:rPr>
          <w:color w:val="231F20"/>
          <w:sz w:val="15"/>
        </w:rPr>
        <w:t>GmbH.</w:t>
      </w:r>
    </w:p>
    <w:p>
      <w:pPr>
        <w:pStyle w:val="BodyText"/>
        <w:spacing w:before="10"/>
        <w:ind w:left="0"/>
        <w:rPr>
          <w:sz w:val="13"/>
        </w:rPr>
      </w:pPr>
    </w:p>
    <w:p>
      <w:pPr>
        <w:spacing w:line="225" w:lineRule="auto" w:before="0"/>
        <w:ind w:left="159" w:right="155" w:firstLine="0"/>
        <w:jc w:val="both"/>
        <w:rPr>
          <w:sz w:val="15"/>
        </w:rPr>
      </w:pPr>
      <w:r>
        <w:rPr>
          <w:color w:val="231F20"/>
          <w:sz w:val="15"/>
        </w:rPr>
        <w:t>The remaining authors declare that the research was conducted in the absence of</w:t>
      </w:r>
      <w:r>
        <w:rPr>
          <w:color w:val="231F20"/>
          <w:spacing w:val="34"/>
          <w:sz w:val="15"/>
        </w:rPr>
        <w:t> </w:t>
      </w:r>
      <w:r>
        <w:rPr>
          <w:color w:val="231F20"/>
          <w:sz w:val="15"/>
        </w:rPr>
        <w:t>any commercial or financial relationships that could be construed as a potential conflict of</w:t>
      </w:r>
      <w:r>
        <w:rPr>
          <w:color w:val="231F20"/>
          <w:spacing w:val="-1"/>
          <w:sz w:val="15"/>
        </w:rPr>
        <w:t> </w:t>
      </w:r>
      <w:r>
        <w:rPr>
          <w:color w:val="231F20"/>
          <w:sz w:val="15"/>
        </w:rPr>
        <w:t>interest.</w:t>
      </w:r>
    </w:p>
    <w:p>
      <w:pPr>
        <w:pStyle w:val="BodyText"/>
        <w:spacing w:before="10"/>
        <w:ind w:left="0"/>
        <w:rPr>
          <w:sz w:val="13"/>
        </w:rPr>
      </w:pPr>
    </w:p>
    <w:p>
      <w:pPr>
        <w:spacing w:line="223" w:lineRule="auto" w:before="1"/>
        <w:ind w:left="159" w:right="155" w:firstLine="0"/>
        <w:jc w:val="both"/>
        <w:rPr>
          <w:i/>
          <w:sz w:val="15"/>
        </w:rPr>
      </w:pPr>
      <w:r>
        <w:rPr>
          <w:i/>
          <w:color w:val="231F20"/>
          <w:sz w:val="15"/>
        </w:rPr>
        <w:t>Copyright © 2019 Kaniusas, Kampusch, </w:t>
      </w:r>
      <w:r>
        <w:rPr>
          <w:i/>
          <w:color w:val="231F20"/>
          <w:spacing w:val="-3"/>
          <w:sz w:val="15"/>
        </w:rPr>
        <w:t>Tittgemeyer, </w:t>
      </w:r>
      <w:r>
        <w:rPr>
          <w:i/>
          <w:color w:val="231F20"/>
          <w:sz w:val="15"/>
        </w:rPr>
        <w:t>Panetsos, Gines, Papa, Kiss, </w:t>
      </w:r>
      <w:r>
        <w:rPr>
          <w:i/>
          <w:color w:val="231F20"/>
          <w:sz w:val="15"/>
        </w:rPr>
        <w:t>Podesser,</w:t>
      </w:r>
      <w:r>
        <w:rPr>
          <w:i/>
          <w:color w:val="231F20"/>
          <w:spacing w:val="-8"/>
          <w:sz w:val="15"/>
        </w:rPr>
        <w:t> </w:t>
      </w:r>
      <w:r>
        <w:rPr>
          <w:i/>
          <w:color w:val="231F20"/>
          <w:sz w:val="15"/>
        </w:rPr>
        <w:t>Cassara,</w:t>
      </w:r>
      <w:r>
        <w:rPr>
          <w:i/>
          <w:color w:val="231F20"/>
          <w:spacing w:val="-8"/>
          <w:sz w:val="15"/>
        </w:rPr>
        <w:t> </w:t>
      </w:r>
      <w:r>
        <w:rPr>
          <w:i/>
          <w:color w:val="231F20"/>
          <w:spacing w:val="-3"/>
          <w:sz w:val="15"/>
        </w:rPr>
        <w:t>Tanghe,</w:t>
      </w:r>
      <w:r>
        <w:rPr>
          <w:i/>
          <w:color w:val="231F20"/>
          <w:spacing w:val="-8"/>
          <w:sz w:val="15"/>
        </w:rPr>
        <w:t> </w:t>
      </w:r>
      <w:r>
        <w:rPr>
          <w:i/>
          <w:color w:val="231F20"/>
          <w:sz w:val="15"/>
        </w:rPr>
        <w:t>Samoudi,</w:t>
      </w:r>
      <w:r>
        <w:rPr>
          <w:i/>
          <w:color w:val="231F20"/>
          <w:spacing w:val="-8"/>
          <w:sz w:val="15"/>
        </w:rPr>
        <w:t> </w:t>
      </w:r>
      <w:r>
        <w:rPr>
          <w:i/>
          <w:color w:val="231F20"/>
          <w:sz w:val="15"/>
        </w:rPr>
        <w:t>Tarnaud,</w:t>
      </w:r>
      <w:r>
        <w:rPr>
          <w:i/>
          <w:color w:val="231F20"/>
          <w:spacing w:val="-8"/>
          <w:sz w:val="15"/>
        </w:rPr>
        <w:t> </w:t>
      </w:r>
      <w:r>
        <w:rPr>
          <w:i/>
          <w:color w:val="231F20"/>
          <w:sz w:val="15"/>
        </w:rPr>
        <w:t>Joseph,</w:t>
      </w:r>
      <w:r>
        <w:rPr>
          <w:i/>
          <w:color w:val="231F20"/>
          <w:spacing w:val="-7"/>
          <w:sz w:val="15"/>
        </w:rPr>
        <w:t> </w:t>
      </w:r>
      <w:r>
        <w:rPr>
          <w:i/>
          <w:color w:val="231F20"/>
          <w:sz w:val="15"/>
        </w:rPr>
        <w:t>Marozas,</w:t>
      </w:r>
      <w:r>
        <w:rPr>
          <w:i/>
          <w:color w:val="231F20"/>
          <w:spacing w:val="-8"/>
          <w:sz w:val="15"/>
        </w:rPr>
        <w:t> </w:t>
      </w:r>
      <w:r>
        <w:rPr>
          <w:i/>
          <w:color w:val="231F20"/>
          <w:sz w:val="15"/>
        </w:rPr>
        <w:t>Lukosevicius,</w:t>
      </w:r>
      <w:r>
        <w:rPr>
          <w:i/>
          <w:color w:val="231F20"/>
          <w:spacing w:val="-8"/>
          <w:sz w:val="15"/>
        </w:rPr>
        <w:t> </w:t>
      </w:r>
      <w:r>
        <w:rPr>
          <w:i/>
          <w:color w:val="231F20"/>
          <w:sz w:val="15"/>
        </w:rPr>
        <w:t>Ištuk, Lechner, Klonowski, Varoneckas, Széles and </w:t>
      </w:r>
      <w:r>
        <w:rPr>
          <w:i/>
          <w:color w:val="231F20"/>
          <w:spacing w:val="-7"/>
          <w:sz w:val="15"/>
        </w:rPr>
        <w:t>Šaroli´c. </w:t>
      </w:r>
      <w:r>
        <w:rPr>
          <w:i/>
          <w:color w:val="231F20"/>
          <w:sz w:val="15"/>
        </w:rPr>
        <w:t>This is an open-access article distributed under the terms of the </w:t>
      </w:r>
      <w:hyperlink r:id="rId137">
        <w:r>
          <w:rPr>
            <w:i/>
            <w:color w:val="231F20"/>
            <w:sz w:val="15"/>
          </w:rPr>
          <w:t>Creative </w:t>
        </w:r>
      </w:hyperlink>
      <w:hyperlink r:id="rId137">
        <w:r>
          <w:rPr>
            <w:i/>
            <w:color w:val="231F20"/>
            <w:sz w:val="15"/>
          </w:rPr>
          <w:t>Commons </w:t>
        </w:r>
      </w:hyperlink>
      <w:hyperlink r:id="rId137">
        <w:r>
          <w:rPr>
            <w:i/>
            <w:color w:val="231F20"/>
            <w:sz w:val="15"/>
          </w:rPr>
          <w:t>Attribution </w:t>
        </w:r>
      </w:hyperlink>
      <w:hyperlink r:id="rId137">
        <w:r>
          <w:rPr>
            <w:i/>
            <w:color w:val="231F20"/>
            <w:sz w:val="15"/>
          </w:rPr>
          <w:t>License </w:t>
        </w:r>
      </w:hyperlink>
      <w:hyperlink r:id="rId137">
        <w:r>
          <w:rPr>
            <w:i/>
            <w:color w:val="231F20"/>
            <w:sz w:val="15"/>
          </w:rPr>
          <w:t>(CC BY)</w:t>
        </w:r>
      </w:hyperlink>
      <w:r>
        <w:rPr>
          <w:i/>
          <w:color w:val="231F20"/>
          <w:sz w:val="15"/>
        </w:rPr>
        <w:t>. The use, distribution or reproduction in other forums is permitted, provided the original author(s) and the copyright owner(s) are credited and that the original publication</w:t>
      </w:r>
      <w:r>
        <w:rPr>
          <w:i/>
          <w:color w:val="231F20"/>
          <w:spacing w:val="-10"/>
          <w:sz w:val="15"/>
        </w:rPr>
        <w:t> </w:t>
      </w:r>
      <w:r>
        <w:rPr>
          <w:i/>
          <w:color w:val="231F20"/>
          <w:sz w:val="15"/>
        </w:rPr>
        <w:t>in</w:t>
      </w:r>
      <w:r>
        <w:rPr>
          <w:i/>
          <w:color w:val="231F20"/>
          <w:spacing w:val="-10"/>
          <w:sz w:val="15"/>
        </w:rPr>
        <w:t> </w:t>
      </w:r>
      <w:r>
        <w:rPr>
          <w:i/>
          <w:color w:val="231F20"/>
          <w:sz w:val="15"/>
        </w:rPr>
        <w:t>this</w:t>
      </w:r>
      <w:r>
        <w:rPr>
          <w:i/>
          <w:color w:val="231F20"/>
          <w:spacing w:val="-10"/>
          <w:sz w:val="15"/>
        </w:rPr>
        <w:t> </w:t>
      </w:r>
      <w:r>
        <w:rPr>
          <w:i/>
          <w:color w:val="231F20"/>
          <w:sz w:val="15"/>
        </w:rPr>
        <w:t>journal</w:t>
      </w:r>
      <w:r>
        <w:rPr>
          <w:i/>
          <w:color w:val="231F20"/>
          <w:spacing w:val="-10"/>
          <w:sz w:val="15"/>
        </w:rPr>
        <w:t> </w:t>
      </w:r>
      <w:r>
        <w:rPr>
          <w:i/>
          <w:color w:val="231F20"/>
          <w:sz w:val="15"/>
        </w:rPr>
        <w:t>is</w:t>
      </w:r>
      <w:r>
        <w:rPr>
          <w:i/>
          <w:color w:val="231F20"/>
          <w:spacing w:val="-10"/>
          <w:sz w:val="15"/>
        </w:rPr>
        <w:t> </w:t>
      </w:r>
      <w:r>
        <w:rPr>
          <w:i/>
          <w:color w:val="231F20"/>
          <w:sz w:val="15"/>
        </w:rPr>
        <w:t>cited,</w:t>
      </w:r>
      <w:r>
        <w:rPr>
          <w:i/>
          <w:color w:val="231F20"/>
          <w:spacing w:val="-10"/>
          <w:sz w:val="15"/>
        </w:rPr>
        <w:t> </w:t>
      </w:r>
      <w:r>
        <w:rPr>
          <w:i/>
          <w:color w:val="231F20"/>
          <w:sz w:val="15"/>
        </w:rPr>
        <w:t>in</w:t>
      </w:r>
      <w:r>
        <w:rPr>
          <w:i/>
          <w:color w:val="231F20"/>
          <w:spacing w:val="-10"/>
          <w:sz w:val="15"/>
        </w:rPr>
        <w:t> </w:t>
      </w:r>
      <w:r>
        <w:rPr>
          <w:i/>
          <w:color w:val="231F20"/>
          <w:sz w:val="15"/>
        </w:rPr>
        <w:t>accordance</w:t>
      </w:r>
      <w:r>
        <w:rPr>
          <w:i/>
          <w:color w:val="231F20"/>
          <w:spacing w:val="-10"/>
          <w:sz w:val="15"/>
        </w:rPr>
        <w:t> </w:t>
      </w:r>
      <w:r>
        <w:rPr>
          <w:i/>
          <w:color w:val="231F20"/>
          <w:sz w:val="15"/>
        </w:rPr>
        <w:t>with</w:t>
      </w:r>
      <w:r>
        <w:rPr>
          <w:i/>
          <w:color w:val="231F20"/>
          <w:spacing w:val="-10"/>
          <w:sz w:val="15"/>
        </w:rPr>
        <w:t> </w:t>
      </w:r>
      <w:r>
        <w:rPr>
          <w:i/>
          <w:color w:val="231F20"/>
          <w:sz w:val="15"/>
        </w:rPr>
        <w:t>accepted</w:t>
      </w:r>
      <w:r>
        <w:rPr>
          <w:i/>
          <w:color w:val="231F20"/>
          <w:spacing w:val="-10"/>
          <w:sz w:val="15"/>
        </w:rPr>
        <w:t> </w:t>
      </w:r>
      <w:r>
        <w:rPr>
          <w:i/>
          <w:color w:val="231F20"/>
          <w:sz w:val="15"/>
        </w:rPr>
        <w:t>academic</w:t>
      </w:r>
      <w:r>
        <w:rPr>
          <w:i/>
          <w:color w:val="231F20"/>
          <w:spacing w:val="-10"/>
          <w:sz w:val="15"/>
        </w:rPr>
        <w:t> </w:t>
      </w:r>
      <w:r>
        <w:rPr>
          <w:i/>
          <w:color w:val="231F20"/>
          <w:sz w:val="15"/>
        </w:rPr>
        <w:t>practice.</w:t>
      </w:r>
      <w:r>
        <w:rPr>
          <w:i/>
          <w:color w:val="231F20"/>
          <w:spacing w:val="-10"/>
          <w:sz w:val="15"/>
        </w:rPr>
        <w:t> </w:t>
      </w:r>
      <w:r>
        <w:rPr>
          <w:i/>
          <w:color w:val="231F20"/>
          <w:sz w:val="15"/>
        </w:rPr>
        <w:t>No use,</w:t>
      </w:r>
      <w:r>
        <w:rPr>
          <w:i/>
          <w:color w:val="231F20"/>
          <w:spacing w:val="-10"/>
          <w:sz w:val="15"/>
        </w:rPr>
        <w:t> </w:t>
      </w:r>
      <w:r>
        <w:rPr>
          <w:i/>
          <w:color w:val="231F20"/>
          <w:sz w:val="15"/>
        </w:rPr>
        <w:t>distribution</w:t>
      </w:r>
      <w:r>
        <w:rPr>
          <w:i/>
          <w:color w:val="231F20"/>
          <w:spacing w:val="-10"/>
          <w:sz w:val="15"/>
        </w:rPr>
        <w:t> </w:t>
      </w:r>
      <w:r>
        <w:rPr>
          <w:i/>
          <w:color w:val="231F20"/>
          <w:sz w:val="15"/>
        </w:rPr>
        <w:t>or</w:t>
      </w:r>
      <w:r>
        <w:rPr>
          <w:i/>
          <w:color w:val="231F20"/>
          <w:spacing w:val="-10"/>
          <w:sz w:val="15"/>
        </w:rPr>
        <w:t> </w:t>
      </w:r>
      <w:r>
        <w:rPr>
          <w:i/>
          <w:color w:val="231F20"/>
          <w:sz w:val="15"/>
        </w:rPr>
        <w:t>reproduction</w:t>
      </w:r>
      <w:r>
        <w:rPr>
          <w:i/>
          <w:color w:val="231F20"/>
          <w:spacing w:val="-9"/>
          <w:sz w:val="15"/>
        </w:rPr>
        <w:t> </w:t>
      </w:r>
      <w:r>
        <w:rPr>
          <w:i/>
          <w:color w:val="231F20"/>
          <w:sz w:val="15"/>
        </w:rPr>
        <w:t>is</w:t>
      </w:r>
      <w:r>
        <w:rPr>
          <w:i/>
          <w:color w:val="231F20"/>
          <w:spacing w:val="-10"/>
          <w:sz w:val="15"/>
        </w:rPr>
        <w:t> </w:t>
      </w:r>
      <w:r>
        <w:rPr>
          <w:i/>
          <w:color w:val="231F20"/>
          <w:sz w:val="15"/>
        </w:rPr>
        <w:t>permitted</w:t>
      </w:r>
      <w:r>
        <w:rPr>
          <w:i/>
          <w:color w:val="231F20"/>
          <w:spacing w:val="-10"/>
          <w:sz w:val="15"/>
        </w:rPr>
        <w:t> </w:t>
      </w:r>
      <w:r>
        <w:rPr>
          <w:i/>
          <w:color w:val="231F20"/>
          <w:sz w:val="15"/>
        </w:rPr>
        <w:t>which</w:t>
      </w:r>
      <w:r>
        <w:rPr>
          <w:i/>
          <w:color w:val="231F20"/>
          <w:spacing w:val="-9"/>
          <w:sz w:val="15"/>
        </w:rPr>
        <w:t> </w:t>
      </w:r>
      <w:r>
        <w:rPr>
          <w:i/>
          <w:color w:val="231F20"/>
          <w:sz w:val="15"/>
        </w:rPr>
        <w:t>does</w:t>
      </w:r>
      <w:r>
        <w:rPr>
          <w:i/>
          <w:color w:val="231F20"/>
          <w:spacing w:val="-10"/>
          <w:sz w:val="15"/>
        </w:rPr>
        <w:t> </w:t>
      </w:r>
      <w:r>
        <w:rPr>
          <w:i/>
          <w:color w:val="231F20"/>
          <w:sz w:val="15"/>
        </w:rPr>
        <w:t>not</w:t>
      </w:r>
      <w:r>
        <w:rPr>
          <w:i/>
          <w:color w:val="231F20"/>
          <w:spacing w:val="-10"/>
          <w:sz w:val="15"/>
        </w:rPr>
        <w:t> </w:t>
      </w:r>
      <w:r>
        <w:rPr>
          <w:i/>
          <w:color w:val="231F20"/>
          <w:sz w:val="15"/>
        </w:rPr>
        <w:t>comply</w:t>
      </w:r>
      <w:r>
        <w:rPr>
          <w:i/>
          <w:color w:val="231F20"/>
          <w:spacing w:val="-10"/>
          <w:sz w:val="15"/>
        </w:rPr>
        <w:t> </w:t>
      </w:r>
      <w:r>
        <w:rPr>
          <w:i/>
          <w:color w:val="231F20"/>
          <w:sz w:val="15"/>
        </w:rPr>
        <w:t>with</w:t>
      </w:r>
      <w:r>
        <w:rPr>
          <w:i/>
          <w:color w:val="231F20"/>
          <w:spacing w:val="-9"/>
          <w:sz w:val="15"/>
        </w:rPr>
        <w:t> </w:t>
      </w:r>
      <w:r>
        <w:rPr>
          <w:i/>
          <w:color w:val="231F20"/>
          <w:sz w:val="15"/>
        </w:rPr>
        <w:t>these</w:t>
      </w:r>
      <w:r>
        <w:rPr>
          <w:i/>
          <w:color w:val="231F20"/>
          <w:spacing w:val="-10"/>
          <w:sz w:val="15"/>
        </w:rPr>
        <w:t> </w:t>
      </w:r>
      <w:r>
        <w:rPr>
          <w:i/>
          <w:color w:val="231F20"/>
          <w:sz w:val="15"/>
        </w:rPr>
        <w:t>terms.</w:t>
      </w:r>
    </w:p>
    <w:sectPr>
      <w:type w:val="continuous"/>
      <w:pgSz w:w="11910" w:h="15600"/>
      <w:pgMar w:top="520" w:bottom="780" w:left="740" w:right="740"/>
      <w:cols w:num="2" w:equalWidth="0">
        <w:col w:w="5101" w:space="67"/>
        <w:col w:w="5262"/>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Pro Light">
    <w:altName w:val="Verdana Pro Light"/>
    <w:charset w:val="0"/>
    <w:family w:val="swiss"/>
    <w:pitch w:val="variable"/>
  </w:font>
  <w:font w:name="Arial">
    <w:altName w:val="Arial"/>
    <w:charset w:val="0"/>
    <w:family w:val="swiss"/>
    <w:pitch w:val="variable"/>
  </w:font>
  <w:font w:name="Minion Pro">
    <w:altName w:val="Minion Pro"/>
    <w:charset w:val="0"/>
    <w:family w:val="roman"/>
    <w:pitch w:val="variable"/>
  </w:font>
  <w:font w:name="Arial Black">
    <w:altName w:val="Arial Black"/>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42448" from="44.98pt,736.242004pt" to="550.397pt,736.242004pt" stroked="true" strokeweight=".249pt" strokecolor="#6d6e71">
          <v:stroke dashstyle="solid"/>
          <w10:wrap type="none"/>
        </v:line>
      </w:pict>
    </w:r>
    <w:r>
      <w:rPr/>
      <w:pict>
        <v:shapetype id="_x0000_t202" o:spt="202" coordsize="21600,21600" path="m,l,21600r21600,l21600,xe">
          <v:stroke joinstyle="miter"/>
          <v:path gradientshapeok="t" o:connecttype="rect"/>
        </v:shapetype>
        <v:shape style="position:absolute;margin-left:43.98pt;margin-top:739.80603pt;width:141.950pt;height:10.3pt;mso-position-horizontal-relative:page;mso-position-vertical-relative:page;z-index:-42424" type="#_x0000_t202" filled="false" stroked="false">
          <v:textbox inset="0,0,0,0">
            <w:txbxContent>
              <w:p>
                <w:pPr>
                  <w:spacing w:before="24"/>
                  <w:ind w:left="20" w:right="0" w:firstLine="0"/>
                  <w:jc w:val="left"/>
                  <w:rPr>
                    <w:rFonts w:ascii="Arial"/>
                    <w:sz w:val="14"/>
                  </w:rPr>
                </w:pPr>
                <w:hyperlink r:id="rId1">
                  <w:r>
                    <w:rPr>
                      <w:rFonts w:ascii="Arial"/>
                      <w:color w:val="6D6E71"/>
                      <w:sz w:val="14"/>
                    </w:rPr>
                    <w:t>Frontiers</w:t>
                  </w:r>
                  <w:r>
                    <w:rPr>
                      <w:rFonts w:ascii="Arial"/>
                      <w:color w:val="6D6E71"/>
                      <w:spacing w:val="-25"/>
                      <w:sz w:val="14"/>
                    </w:rPr>
                    <w:t> </w:t>
                  </w:r>
                  <w:r>
                    <w:rPr>
                      <w:rFonts w:ascii="Arial"/>
                      <w:color w:val="6D6E71"/>
                      <w:sz w:val="14"/>
                    </w:rPr>
                    <w:t>in</w:t>
                  </w:r>
                  <w:r>
                    <w:rPr>
                      <w:rFonts w:ascii="Arial"/>
                      <w:color w:val="6D6E71"/>
                      <w:spacing w:val="-24"/>
                      <w:sz w:val="14"/>
                    </w:rPr>
                    <w:t> </w:t>
                  </w:r>
                  <w:r>
                    <w:rPr>
                      <w:rFonts w:ascii="Arial"/>
                      <w:color w:val="6D6E71"/>
                      <w:sz w:val="14"/>
                    </w:rPr>
                    <w:t>Neuroscience</w:t>
                  </w:r>
                  <w:r>
                    <w:rPr>
                      <w:rFonts w:ascii="Arial"/>
                      <w:color w:val="6D6E71"/>
                      <w:spacing w:val="-24"/>
                      <w:sz w:val="14"/>
                    </w:rPr>
                    <w:t> </w:t>
                  </w:r>
                </w:hyperlink>
                <w:r>
                  <w:rPr>
                    <w:rFonts w:ascii="Arial"/>
                    <w:color w:val="6D6E71"/>
                    <w:sz w:val="14"/>
                  </w:rPr>
                  <w:t>|</w:t>
                </w:r>
                <w:r>
                  <w:rPr>
                    <w:rFonts w:ascii="Arial"/>
                    <w:color w:val="6D6E71"/>
                    <w:spacing w:val="-24"/>
                    <w:sz w:val="14"/>
                  </w:rPr>
                  <w:t> </w:t>
                </w:r>
                <w:hyperlink r:id="rId2">
                  <w:r>
                    <w:rPr>
                      <w:rFonts w:ascii="Arial"/>
                      <w:color w:val="6D6E71"/>
                      <w:sz w:val="14"/>
                    </w:rPr>
                    <w:t>www.frontiersin.org</w:t>
                  </w:r>
                </w:hyperlink>
              </w:p>
            </w:txbxContent>
          </v:textbox>
          <w10:wrap type="none"/>
        </v:shape>
      </w:pict>
    </w:r>
    <w:r>
      <w:rPr/>
      <w:pict>
        <v:shape style="position:absolute;margin-left:294.742004pt;margin-top:739.75pt;width:5.9pt;height:10.4pt;mso-position-horizontal-relative:page;mso-position-vertical-relative:page;z-index:-42400" type="#_x0000_t202" filled="false" stroked="false">
          <v:textbox inset="0,0,0,0">
            <w:txbxContent>
              <w:p>
                <w:pPr>
                  <w:spacing w:before="25"/>
                  <w:ind w:left="20" w:right="0" w:firstLine="0"/>
                  <w:jc w:val="left"/>
                  <w:rPr>
                    <w:rFonts w:ascii="Arial"/>
                    <w:sz w:val="14"/>
                  </w:rPr>
                </w:pPr>
                <w:r>
                  <w:rPr>
                    <w:rFonts w:ascii="Arial"/>
                    <w:color w:val="6D6E71"/>
                    <w:w w:val="99"/>
                    <w:sz w:val="14"/>
                  </w:rPr>
                  <w:t>1</w:t>
                </w:r>
              </w:p>
            </w:txbxContent>
          </v:textbox>
          <w10:wrap type="none"/>
        </v:shape>
      </w:pict>
    </w:r>
    <w:r>
      <w:rPr/>
      <w:pict>
        <v:shape style="position:absolute;margin-left:445.125pt;margin-top:739.80603pt;width:106.3pt;height:10.3pt;mso-position-horizontal-relative:page;mso-position-vertical-relative:page;z-index:-42376" type="#_x0000_t202" filled="false" stroked="false">
          <v:textbox inset="0,0,0,0">
            <w:txbxContent>
              <w:p>
                <w:pPr>
                  <w:spacing w:before="24"/>
                  <w:ind w:left="20" w:right="0" w:firstLine="0"/>
                  <w:jc w:val="left"/>
                  <w:rPr>
                    <w:rFonts w:ascii="Arial"/>
                    <w:sz w:val="14"/>
                  </w:rPr>
                </w:pPr>
                <w:hyperlink r:id="rId3">
                  <w:r>
                    <w:rPr>
                      <w:rFonts w:ascii="Arial"/>
                      <w:color w:val="6D6E71"/>
                      <w:sz w:val="14"/>
                    </w:rPr>
                    <w:t>July</w:t>
                  </w:r>
                  <w:r>
                    <w:rPr>
                      <w:rFonts w:ascii="Arial"/>
                      <w:color w:val="6D6E71"/>
                      <w:spacing w:val="-10"/>
                      <w:sz w:val="14"/>
                    </w:rPr>
                    <w:t> </w:t>
                  </w:r>
                  <w:r>
                    <w:rPr>
                      <w:rFonts w:ascii="Arial"/>
                      <w:color w:val="6D6E71"/>
                      <w:sz w:val="14"/>
                    </w:rPr>
                    <w:t>2019</w:t>
                  </w:r>
                  <w:r>
                    <w:rPr>
                      <w:rFonts w:ascii="Arial"/>
                      <w:color w:val="6D6E71"/>
                      <w:spacing w:val="-10"/>
                      <w:sz w:val="14"/>
                    </w:rPr>
                    <w:t> </w:t>
                  </w:r>
                  <w:r>
                    <w:rPr>
                      <w:rFonts w:ascii="Arial"/>
                      <w:color w:val="6D6E71"/>
                      <w:sz w:val="14"/>
                    </w:rPr>
                    <w:t>|</w:t>
                  </w:r>
                  <w:r>
                    <w:rPr>
                      <w:rFonts w:ascii="Arial"/>
                      <w:color w:val="6D6E71"/>
                      <w:spacing w:val="-10"/>
                      <w:sz w:val="14"/>
                    </w:rPr>
                    <w:t> </w:t>
                  </w:r>
                  <w:r>
                    <w:rPr>
                      <w:rFonts w:ascii="Arial"/>
                      <w:color w:val="6D6E71"/>
                      <w:sz w:val="14"/>
                    </w:rPr>
                    <w:t>Volume</w:t>
                  </w:r>
                  <w:r>
                    <w:rPr>
                      <w:rFonts w:ascii="Arial"/>
                      <w:color w:val="6D6E71"/>
                      <w:spacing w:val="-9"/>
                      <w:sz w:val="14"/>
                    </w:rPr>
                    <w:t> </w:t>
                  </w:r>
                  <w:r>
                    <w:rPr>
                      <w:rFonts w:ascii="Arial"/>
                      <w:color w:val="6D6E71"/>
                      <w:sz w:val="14"/>
                    </w:rPr>
                    <w:t>13</w:t>
                  </w:r>
                  <w:r>
                    <w:rPr>
                      <w:rFonts w:ascii="Arial"/>
                      <w:color w:val="6D6E71"/>
                      <w:spacing w:val="-10"/>
                      <w:sz w:val="14"/>
                    </w:rPr>
                    <w:t> </w:t>
                  </w:r>
                  <w:r>
                    <w:rPr>
                      <w:rFonts w:ascii="Arial"/>
                      <w:color w:val="6D6E71"/>
                      <w:sz w:val="14"/>
                    </w:rPr>
                    <w:t>|</w:t>
                  </w:r>
                  <w:r>
                    <w:rPr>
                      <w:rFonts w:ascii="Arial"/>
                      <w:color w:val="6D6E71"/>
                      <w:spacing w:val="-10"/>
                      <w:sz w:val="14"/>
                    </w:rPr>
                    <w:t> </w:t>
                  </w:r>
                  <w:r>
                    <w:rPr>
                      <w:rFonts w:ascii="Arial"/>
                      <w:color w:val="6D6E71"/>
                      <w:sz w:val="14"/>
                    </w:rPr>
                    <w:t>Article</w:t>
                  </w:r>
                  <w:r>
                    <w:rPr>
                      <w:rFonts w:ascii="Arial"/>
                      <w:color w:val="6D6E71"/>
                      <w:spacing w:val="-10"/>
                      <w:sz w:val="14"/>
                    </w:rPr>
                    <w:t> </w:t>
                  </w:r>
                  <w:r>
                    <w:rPr>
                      <w:rFonts w:ascii="Arial"/>
                      <w:color w:val="6D6E71"/>
                      <w:sz w:val="14"/>
                    </w:rPr>
                    <w:t>772</w:t>
                  </w:r>
                </w:hyperlink>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42280" from="44.98pt,736.242004pt" to="550.397pt,736.242004pt" stroked="true" strokeweight=".249pt" strokecolor="#6d6e71">
          <v:stroke dashstyle="solid"/>
          <w10:wrap type="none"/>
        </v:line>
      </w:pict>
    </w:r>
    <w:r>
      <w:rPr/>
      <w:pict>
        <v:shape style="position:absolute;margin-left:43.98pt;margin-top:739.80603pt;width:141.950pt;height:10.3pt;mso-position-horizontal-relative:page;mso-position-vertical-relative:page;z-index:-42256" type="#_x0000_t202" filled="false" stroked="false">
          <v:textbox inset="0,0,0,0">
            <w:txbxContent>
              <w:p>
                <w:pPr>
                  <w:spacing w:before="24"/>
                  <w:ind w:left="20" w:right="0" w:firstLine="0"/>
                  <w:jc w:val="left"/>
                  <w:rPr>
                    <w:rFonts w:ascii="Arial"/>
                    <w:sz w:val="14"/>
                  </w:rPr>
                </w:pPr>
                <w:hyperlink r:id="rId1">
                  <w:r>
                    <w:rPr>
                      <w:rFonts w:ascii="Arial"/>
                      <w:color w:val="6D6E71"/>
                      <w:sz w:val="14"/>
                    </w:rPr>
                    <w:t>Frontiers</w:t>
                  </w:r>
                  <w:r>
                    <w:rPr>
                      <w:rFonts w:ascii="Arial"/>
                      <w:color w:val="6D6E71"/>
                      <w:spacing w:val="-25"/>
                      <w:sz w:val="14"/>
                    </w:rPr>
                    <w:t> </w:t>
                  </w:r>
                  <w:r>
                    <w:rPr>
                      <w:rFonts w:ascii="Arial"/>
                      <w:color w:val="6D6E71"/>
                      <w:sz w:val="14"/>
                    </w:rPr>
                    <w:t>in</w:t>
                  </w:r>
                  <w:r>
                    <w:rPr>
                      <w:rFonts w:ascii="Arial"/>
                      <w:color w:val="6D6E71"/>
                      <w:spacing w:val="-24"/>
                      <w:sz w:val="14"/>
                    </w:rPr>
                    <w:t> </w:t>
                  </w:r>
                  <w:r>
                    <w:rPr>
                      <w:rFonts w:ascii="Arial"/>
                      <w:color w:val="6D6E71"/>
                      <w:sz w:val="14"/>
                    </w:rPr>
                    <w:t>Neuroscience</w:t>
                  </w:r>
                  <w:r>
                    <w:rPr>
                      <w:rFonts w:ascii="Arial"/>
                      <w:color w:val="6D6E71"/>
                      <w:spacing w:val="-24"/>
                      <w:sz w:val="14"/>
                    </w:rPr>
                    <w:t> </w:t>
                  </w:r>
                </w:hyperlink>
                <w:r>
                  <w:rPr>
                    <w:rFonts w:ascii="Arial"/>
                    <w:color w:val="6D6E71"/>
                    <w:sz w:val="14"/>
                  </w:rPr>
                  <w:t>|</w:t>
                </w:r>
                <w:r>
                  <w:rPr>
                    <w:rFonts w:ascii="Arial"/>
                    <w:color w:val="6D6E71"/>
                    <w:spacing w:val="-24"/>
                    <w:sz w:val="14"/>
                  </w:rPr>
                  <w:t> </w:t>
                </w:r>
                <w:hyperlink r:id="rId2">
                  <w:r>
                    <w:rPr>
                      <w:rFonts w:ascii="Arial"/>
                      <w:color w:val="6D6E71"/>
                      <w:sz w:val="14"/>
                    </w:rPr>
                    <w:t>www.frontiersin.org</w:t>
                  </w:r>
                </w:hyperlink>
              </w:p>
            </w:txbxContent>
          </v:textbox>
          <w10:wrap type="none"/>
        </v:shape>
      </w:pict>
    </w:r>
    <w:r>
      <w:rPr/>
      <w:pict>
        <v:shape style="position:absolute;margin-left:291.79599pt;margin-top:739.75pt;width:11.8pt;height:10.4pt;mso-position-horizontal-relative:page;mso-position-vertical-relative:page;z-index:-42232" type="#_x0000_t202" filled="false" stroked="false">
          <v:textbox inset="0,0,0,0">
            <w:txbxContent>
              <w:p>
                <w:pPr>
                  <w:spacing w:before="25"/>
                  <w:ind w:left="40" w:right="0" w:firstLine="0"/>
                  <w:jc w:val="left"/>
                  <w:rPr>
                    <w:rFonts w:ascii="Arial"/>
                    <w:sz w:val="14"/>
                  </w:rPr>
                </w:pPr>
                <w:r>
                  <w:rPr/>
                  <w:fldChar w:fldCharType="begin"/>
                </w:r>
                <w:r>
                  <w:rPr>
                    <w:rFonts w:ascii="Arial"/>
                    <w:color w:val="6D6E71"/>
                    <w:sz w:val="14"/>
                  </w:rPr>
                  <w:instrText> PAGE </w:instrText>
                </w:r>
                <w:r>
                  <w:rPr/>
                  <w:fldChar w:fldCharType="separate"/>
                </w:r>
                <w:r>
                  <w:rPr/>
                  <w:t>10</w:t>
                </w:r>
                <w:r>
                  <w:rPr/>
                  <w:fldChar w:fldCharType="end"/>
                </w:r>
              </w:p>
            </w:txbxContent>
          </v:textbox>
          <w10:wrap type="none"/>
        </v:shape>
      </w:pict>
    </w:r>
    <w:r>
      <w:rPr/>
      <w:pict>
        <v:shape style="position:absolute;margin-left:445.126007pt;margin-top:739.80603pt;width:106.3pt;height:10.3pt;mso-position-horizontal-relative:page;mso-position-vertical-relative:page;z-index:-42208" type="#_x0000_t202" filled="false" stroked="false">
          <v:textbox inset="0,0,0,0">
            <w:txbxContent>
              <w:p>
                <w:pPr>
                  <w:spacing w:before="24"/>
                  <w:ind w:left="20" w:right="0" w:firstLine="0"/>
                  <w:jc w:val="left"/>
                  <w:rPr>
                    <w:rFonts w:ascii="Arial"/>
                    <w:sz w:val="14"/>
                  </w:rPr>
                </w:pPr>
                <w:hyperlink r:id="rId3">
                  <w:r>
                    <w:rPr>
                      <w:rFonts w:ascii="Arial"/>
                      <w:color w:val="6D6E71"/>
                      <w:sz w:val="14"/>
                    </w:rPr>
                    <w:t>July</w:t>
                  </w:r>
                  <w:r>
                    <w:rPr>
                      <w:rFonts w:ascii="Arial"/>
                      <w:color w:val="6D6E71"/>
                      <w:spacing w:val="-10"/>
                      <w:sz w:val="14"/>
                    </w:rPr>
                    <w:t> </w:t>
                  </w:r>
                  <w:r>
                    <w:rPr>
                      <w:rFonts w:ascii="Arial"/>
                      <w:color w:val="6D6E71"/>
                      <w:sz w:val="14"/>
                    </w:rPr>
                    <w:t>2019</w:t>
                  </w:r>
                  <w:r>
                    <w:rPr>
                      <w:rFonts w:ascii="Arial"/>
                      <w:color w:val="6D6E71"/>
                      <w:spacing w:val="-10"/>
                      <w:sz w:val="14"/>
                    </w:rPr>
                    <w:t> </w:t>
                  </w:r>
                  <w:r>
                    <w:rPr>
                      <w:rFonts w:ascii="Arial"/>
                      <w:color w:val="6D6E71"/>
                      <w:sz w:val="14"/>
                    </w:rPr>
                    <w:t>|</w:t>
                  </w:r>
                  <w:r>
                    <w:rPr>
                      <w:rFonts w:ascii="Arial"/>
                      <w:color w:val="6D6E71"/>
                      <w:spacing w:val="-10"/>
                      <w:sz w:val="14"/>
                    </w:rPr>
                    <w:t> </w:t>
                  </w:r>
                  <w:r>
                    <w:rPr>
                      <w:rFonts w:ascii="Arial"/>
                      <w:color w:val="6D6E71"/>
                      <w:sz w:val="14"/>
                    </w:rPr>
                    <w:t>Volume</w:t>
                  </w:r>
                  <w:r>
                    <w:rPr>
                      <w:rFonts w:ascii="Arial"/>
                      <w:color w:val="6D6E71"/>
                      <w:spacing w:val="-9"/>
                      <w:sz w:val="14"/>
                    </w:rPr>
                    <w:t> </w:t>
                  </w:r>
                  <w:r>
                    <w:rPr>
                      <w:rFonts w:ascii="Arial"/>
                      <w:color w:val="6D6E71"/>
                      <w:sz w:val="14"/>
                    </w:rPr>
                    <w:t>13</w:t>
                  </w:r>
                  <w:r>
                    <w:rPr>
                      <w:rFonts w:ascii="Arial"/>
                      <w:color w:val="6D6E71"/>
                      <w:spacing w:val="-10"/>
                      <w:sz w:val="14"/>
                    </w:rPr>
                    <w:t> </w:t>
                  </w:r>
                  <w:r>
                    <w:rPr>
                      <w:rFonts w:ascii="Arial"/>
                      <w:color w:val="6D6E71"/>
                      <w:sz w:val="14"/>
                    </w:rPr>
                    <w:t>|</w:t>
                  </w:r>
                  <w:r>
                    <w:rPr>
                      <w:rFonts w:ascii="Arial"/>
                      <w:color w:val="6D6E71"/>
                      <w:spacing w:val="-10"/>
                      <w:sz w:val="14"/>
                    </w:rPr>
                    <w:t> </w:t>
                  </w:r>
                  <w:r>
                    <w:rPr>
                      <w:rFonts w:ascii="Arial"/>
                      <w:color w:val="6D6E71"/>
                      <w:sz w:val="14"/>
                    </w:rPr>
                    <w:t>Article</w:t>
                  </w:r>
                  <w:r>
                    <w:rPr>
                      <w:rFonts w:ascii="Arial"/>
                      <w:color w:val="6D6E71"/>
                      <w:spacing w:val="-10"/>
                      <w:sz w:val="14"/>
                    </w:rPr>
                    <w:t> </w:t>
                  </w:r>
                  <w:r>
                    <w:rPr>
                      <w:rFonts w:ascii="Arial"/>
                      <w:color w:val="6D6E71"/>
                      <w:sz w:val="14"/>
                    </w:rPr>
                    <w:t>772</w:t>
                  </w:r>
                </w:hyperlink>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42352" from="44.98pt,42.743015pt" to="550.397pt,42.743015pt" stroked="true" strokeweight=".249pt" strokecolor="#6d6e71">
          <v:stroke dashstyle="solid"/>
          <w10:wrap type="none"/>
        </v:line>
      </w:pict>
    </w:r>
    <w:r>
      <w:rPr/>
      <w:pict>
        <v:shape style="position:absolute;margin-left:43.98pt;margin-top:27.014015pt;width:45.85pt;height:10.3pt;mso-position-horizontal-relative:page;mso-position-vertical-relative:page;z-index:-42328" type="#_x0000_t202" filled="false" stroked="false">
          <v:textbox inset="0,0,0,0">
            <w:txbxContent>
              <w:p>
                <w:pPr>
                  <w:spacing w:before="24"/>
                  <w:ind w:left="20" w:right="0" w:firstLine="0"/>
                  <w:jc w:val="left"/>
                  <w:rPr>
                    <w:rFonts w:ascii="Arial"/>
                    <w:sz w:val="14"/>
                  </w:rPr>
                </w:pPr>
                <w:r>
                  <w:rPr>
                    <w:rFonts w:ascii="Arial"/>
                    <w:color w:val="6D6E71"/>
                    <w:sz w:val="14"/>
                  </w:rPr>
                  <w:t>Kaniusas</w:t>
                </w:r>
                <w:r>
                  <w:rPr>
                    <w:rFonts w:ascii="Arial"/>
                    <w:color w:val="6D6E71"/>
                    <w:spacing w:val="-17"/>
                    <w:sz w:val="14"/>
                  </w:rPr>
                  <w:t> </w:t>
                </w:r>
                <w:r>
                  <w:rPr>
                    <w:rFonts w:ascii="Arial"/>
                    <w:color w:val="6D6E71"/>
                    <w:sz w:val="14"/>
                  </w:rPr>
                  <w:t>et</w:t>
                </w:r>
                <w:r>
                  <w:rPr>
                    <w:rFonts w:ascii="Arial"/>
                    <w:color w:val="6D6E71"/>
                    <w:spacing w:val="-17"/>
                    <w:sz w:val="14"/>
                  </w:rPr>
                  <w:t> </w:t>
                </w:r>
                <w:r>
                  <w:rPr>
                    <w:rFonts w:ascii="Arial"/>
                    <w:color w:val="6D6E71"/>
                    <w:sz w:val="14"/>
                  </w:rPr>
                  <w:t>al.</w:t>
                </w:r>
              </w:p>
            </w:txbxContent>
          </v:textbox>
          <w10:wrap type="none"/>
        </v:shape>
      </w:pict>
    </w:r>
    <w:r>
      <w:rPr/>
      <w:pict>
        <v:shape style="position:absolute;margin-left:405.330994pt;margin-top:27.014015pt;width:146.1pt;height:10.3pt;mso-position-horizontal-relative:page;mso-position-vertical-relative:page;z-index:-42304" type="#_x0000_t202" filled="false" stroked="false">
          <v:textbox inset="0,0,0,0">
            <w:txbxContent>
              <w:p>
                <w:pPr>
                  <w:spacing w:before="24"/>
                  <w:ind w:left="20" w:right="0" w:firstLine="0"/>
                  <w:jc w:val="left"/>
                  <w:rPr>
                    <w:rFonts w:ascii="Arial" w:hAnsi="Arial"/>
                    <w:sz w:val="14"/>
                  </w:rPr>
                </w:pPr>
                <w:r>
                  <w:rPr>
                    <w:rFonts w:ascii="Arial" w:hAnsi="Arial"/>
                    <w:color w:val="6D6E71"/>
                    <w:w w:val="95"/>
                    <w:sz w:val="14"/>
                  </w:rPr>
                  <w:t>Auricular Vagus Nerve Stimulation – Engineering</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lowerRoman"/>
      <w:lvlText w:val="(%1)"/>
      <w:lvlJc w:val="left"/>
      <w:pPr>
        <w:ind w:left="593" w:hanging="282"/>
        <w:jc w:val="left"/>
      </w:pPr>
      <w:rPr>
        <w:rFonts w:hint="default" w:ascii="Minion Pro" w:hAnsi="Minion Pro" w:eastAsia="Minion Pro" w:cs="Minion Pro"/>
        <w:color w:val="231F20"/>
        <w:spacing w:val="-8"/>
        <w:w w:val="100"/>
        <w:sz w:val="19"/>
        <w:szCs w:val="19"/>
      </w:rPr>
    </w:lvl>
    <w:lvl w:ilvl="1">
      <w:start w:val="0"/>
      <w:numFmt w:val="bullet"/>
      <w:lvlText w:val="•"/>
      <w:lvlJc w:val="left"/>
      <w:pPr>
        <w:ind w:left="600" w:hanging="282"/>
      </w:pPr>
      <w:rPr>
        <w:rFonts w:hint="default"/>
      </w:rPr>
    </w:lvl>
    <w:lvl w:ilvl="2">
      <w:start w:val="0"/>
      <w:numFmt w:val="bullet"/>
      <w:lvlText w:val="•"/>
      <w:lvlJc w:val="left"/>
      <w:pPr>
        <w:ind w:left="1116" w:hanging="282"/>
      </w:pPr>
      <w:rPr>
        <w:rFonts w:hint="default"/>
      </w:rPr>
    </w:lvl>
    <w:lvl w:ilvl="3">
      <w:start w:val="0"/>
      <w:numFmt w:val="bullet"/>
      <w:lvlText w:val="•"/>
      <w:lvlJc w:val="left"/>
      <w:pPr>
        <w:ind w:left="1633" w:hanging="282"/>
      </w:pPr>
      <w:rPr>
        <w:rFonts w:hint="default"/>
      </w:rPr>
    </w:lvl>
    <w:lvl w:ilvl="4">
      <w:start w:val="0"/>
      <w:numFmt w:val="bullet"/>
      <w:lvlText w:val="•"/>
      <w:lvlJc w:val="left"/>
      <w:pPr>
        <w:ind w:left="2150" w:hanging="282"/>
      </w:pPr>
      <w:rPr>
        <w:rFonts w:hint="default"/>
      </w:rPr>
    </w:lvl>
    <w:lvl w:ilvl="5">
      <w:start w:val="0"/>
      <w:numFmt w:val="bullet"/>
      <w:lvlText w:val="•"/>
      <w:lvlJc w:val="left"/>
      <w:pPr>
        <w:ind w:left="2667" w:hanging="282"/>
      </w:pPr>
      <w:rPr>
        <w:rFonts w:hint="default"/>
      </w:rPr>
    </w:lvl>
    <w:lvl w:ilvl="6">
      <w:start w:val="0"/>
      <w:numFmt w:val="bullet"/>
      <w:lvlText w:val="•"/>
      <w:lvlJc w:val="left"/>
      <w:pPr>
        <w:ind w:left="3184" w:hanging="282"/>
      </w:pPr>
      <w:rPr>
        <w:rFonts w:hint="default"/>
      </w:rPr>
    </w:lvl>
    <w:lvl w:ilvl="7">
      <w:start w:val="0"/>
      <w:numFmt w:val="bullet"/>
      <w:lvlText w:val="•"/>
      <w:lvlJc w:val="left"/>
      <w:pPr>
        <w:ind w:left="3701" w:hanging="282"/>
      </w:pPr>
      <w:rPr>
        <w:rFonts w:hint="default"/>
      </w:rPr>
    </w:lvl>
    <w:lvl w:ilvl="8">
      <w:start w:val="0"/>
      <w:numFmt w:val="bullet"/>
      <w:lvlText w:val="•"/>
      <w:lvlJc w:val="left"/>
      <w:pPr>
        <w:ind w:left="4218" w:hanging="282"/>
      </w:pPr>
      <w:rPr>
        <w:rFonts w:hint="default"/>
      </w:rPr>
    </w:lvl>
  </w:abstractNum>
  <w:abstractNum w:abstractNumId="0">
    <w:multiLevelType w:val="hybridMultilevel"/>
    <w:lvl w:ilvl="0">
      <w:start w:val="2"/>
      <w:numFmt w:val="lowerRoman"/>
      <w:lvlText w:val="(%1)"/>
      <w:lvlJc w:val="left"/>
      <w:pPr>
        <w:ind w:left="354" w:hanging="285"/>
        <w:jc w:val="left"/>
      </w:pPr>
      <w:rPr>
        <w:rFonts w:hint="default" w:ascii="Minion Pro" w:hAnsi="Minion Pro" w:eastAsia="Minion Pro" w:cs="Minion Pro"/>
        <w:color w:val="231F20"/>
        <w:w w:val="100"/>
        <w:sz w:val="19"/>
        <w:szCs w:val="19"/>
      </w:rPr>
    </w:lvl>
    <w:lvl w:ilvl="1">
      <w:start w:val="0"/>
      <w:numFmt w:val="bullet"/>
      <w:lvlText w:val="•"/>
      <w:lvlJc w:val="left"/>
      <w:pPr>
        <w:ind w:left="833" w:hanging="285"/>
      </w:pPr>
      <w:rPr>
        <w:rFonts w:hint="default"/>
      </w:rPr>
    </w:lvl>
    <w:lvl w:ilvl="2">
      <w:start w:val="0"/>
      <w:numFmt w:val="bullet"/>
      <w:lvlText w:val="•"/>
      <w:lvlJc w:val="left"/>
      <w:pPr>
        <w:ind w:left="1306" w:hanging="285"/>
      </w:pPr>
      <w:rPr>
        <w:rFonts w:hint="default"/>
      </w:rPr>
    </w:lvl>
    <w:lvl w:ilvl="3">
      <w:start w:val="0"/>
      <w:numFmt w:val="bullet"/>
      <w:lvlText w:val="•"/>
      <w:lvlJc w:val="left"/>
      <w:pPr>
        <w:ind w:left="1780" w:hanging="285"/>
      </w:pPr>
      <w:rPr>
        <w:rFonts w:hint="default"/>
      </w:rPr>
    </w:lvl>
    <w:lvl w:ilvl="4">
      <w:start w:val="0"/>
      <w:numFmt w:val="bullet"/>
      <w:lvlText w:val="•"/>
      <w:lvlJc w:val="left"/>
      <w:pPr>
        <w:ind w:left="2253" w:hanging="285"/>
      </w:pPr>
      <w:rPr>
        <w:rFonts w:hint="default"/>
      </w:rPr>
    </w:lvl>
    <w:lvl w:ilvl="5">
      <w:start w:val="0"/>
      <w:numFmt w:val="bullet"/>
      <w:lvlText w:val="•"/>
      <w:lvlJc w:val="left"/>
      <w:pPr>
        <w:ind w:left="2727" w:hanging="285"/>
      </w:pPr>
      <w:rPr>
        <w:rFonts w:hint="default"/>
      </w:rPr>
    </w:lvl>
    <w:lvl w:ilvl="6">
      <w:start w:val="0"/>
      <w:numFmt w:val="bullet"/>
      <w:lvlText w:val="•"/>
      <w:lvlJc w:val="left"/>
      <w:pPr>
        <w:ind w:left="3200" w:hanging="285"/>
      </w:pPr>
      <w:rPr>
        <w:rFonts w:hint="default"/>
      </w:rPr>
    </w:lvl>
    <w:lvl w:ilvl="7">
      <w:start w:val="0"/>
      <w:numFmt w:val="bullet"/>
      <w:lvlText w:val="•"/>
      <w:lvlJc w:val="left"/>
      <w:pPr>
        <w:ind w:left="3673" w:hanging="285"/>
      </w:pPr>
      <w:rPr>
        <w:rFonts w:hint="default"/>
      </w:rPr>
    </w:lvl>
    <w:lvl w:ilvl="8">
      <w:start w:val="0"/>
      <w:numFmt w:val="bullet"/>
      <w:lvlText w:val="•"/>
      <w:lvlJc w:val="left"/>
      <w:pPr>
        <w:ind w:left="4147" w:hanging="285"/>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nion Pro" w:hAnsi="Minion Pro" w:eastAsia="Minion Pro" w:cs="Minion Pro"/>
    </w:rPr>
  </w:style>
  <w:style w:styleId="BodyText" w:type="paragraph">
    <w:name w:val="Body Text"/>
    <w:basedOn w:val="Normal"/>
    <w:uiPriority w:val="1"/>
    <w:qFormat/>
    <w:pPr>
      <w:ind w:left="159"/>
    </w:pPr>
    <w:rPr>
      <w:rFonts w:ascii="Minion Pro" w:hAnsi="Minion Pro" w:eastAsia="Minion Pro" w:cs="Minion Pro"/>
      <w:sz w:val="19"/>
      <w:szCs w:val="19"/>
    </w:rPr>
  </w:style>
  <w:style w:styleId="Heading1" w:type="paragraph">
    <w:name w:val="Heading 1"/>
    <w:basedOn w:val="Normal"/>
    <w:uiPriority w:val="1"/>
    <w:qFormat/>
    <w:pPr>
      <w:ind w:left="159"/>
      <w:outlineLvl w:val="1"/>
    </w:pPr>
    <w:rPr>
      <w:rFonts w:ascii="Arial" w:hAnsi="Arial" w:eastAsia="Arial" w:cs="Arial"/>
      <w:sz w:val="24"/>
      <w:szCs w:val="24"/>
    </w:rPr>
  </w:style>
  <w:style w:styleId="Heading2" w:type="paragraph">
    <w:name w:val="Heading 2"/>
    <w:basedOn w:val="Normal"/>
    <w:uiPriority w:val="1"/>
    <w:qFormat/>
    <w:pPr>
      <w:ind w:left="159"/>
      <w:outlineLvl w:val="2"/>
    </w:pPr>
    <w:rPr>
      <w:rFonts w:ascii="Arial" w:hAnsi="Arial" w:eastAsia="Arial" w:cs="Arial"/>
      <w:sz w:val="20"/>
      <w:szCs w:val="20"/>
    </w:rPr>
  </w:style>
  <w:style w:styleId="ListParagraph" w:type="paragraph">
    <w:name w:val="List Paragraph"/>
    <w:basedOn w:val="Normal"/>
    <w:uiPriority w:val="1"/>
    <w:qFormat/>
    <w:pPr>
      <w:ind w:left="354" w:right="155"/>
      <w:jc w:val="both"/>
    </w:pPr>
    <w:rPr>
      <w:rFonts w:ascii="Minion Pro" w:hAnsi="Minion Pro" w:eastAsia="Minion Pro" w:cs="Minion Pro"/>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yperlink" Target="https://www.frontiersin.org/journals/neuroscience#editorial-board" TargetMode="External"/><Relationship Id="rId8" Type="http://schemas.openxmlformats.org/officeDocument/2006/relationships/image" Target="media/image2.png"/><Relationship Id="rId9" Type="http://schemas.openxmlformats.org/officeDocument/2006/relationships/hyperlink" Target="https://doi.org/10.3389/fnins.2019.00772" TargetMode="External"/><Relationship Id="rId10" Type="http://schemas.openxmlformats.org/officeDocument/2006/relationships/hyperlink" Target="https://www.frontiersin.org/articles/10.3389/fnins.2019.00772/full" TargetMode="External"/><Relationship Id="rId11" Type="http://schemas.openxmlformats.org/officeDocument/2006/relationships/hyperlink" Target="http://loop.frontiersin.org/people/626382/overview" TargetMode="External"/><Relationship Id="rId12" Type="http://schemas.openxmlformats.org/officeDocument/2006/relationships/hyperlink" Target="http://loop.frontiersin.org/people/540374/overview" TargetMode="External"/><Relationship Id="rId13" Type="http://schemas.openxmlformats.org/officeDocument/2006/relationships/hyperlink" Target="http://loop.frontiersin.org/people/14347/overview" TargetMode="External"/><Relationship Id="rId14" Type="http://schemas.openxmlformats.org/officeDocument/2006/relationships/hyperlink" Target="http://loop.frontiersin.org/people/26085/overview" TargetMode="External"/><Relationship Id="rId15" Type="http://schemas.openxmlformats.org/officeDocument/2006/relationships/hyperlink" Target="http://loop.frontiersin.org/people/767028/overview" TargetMode="External"/><Relationship Id="rId16" Type="http://schemas.openxmlformats.org/officeDocument/2006/relationships/hyperlink" Target="http://loop.frontiersin.org/people/85489/overview" TargetMode="External"/><Relationship Id="rId17" Type="http://schemas.openxmlformats.org/officeDocument/2006/relationships/hyperlink" Target="http://loop.frontiersin.org/people/718013/overview" TargetMode="External"/><Relationship Id="rId18" Type="http://schemas.openxmlformats.org/officeDocument/2006/relationships/hyperlink" Target="http://loop.frontiersin.org/people/181831/overview" TargetMode="External"/><Relationship Id="rId19" Type="http://schemas.openxmlformats.org/officeDocument/2006/relationships/hyperlink" Target="http://loop.frontiersin.org/people/144820/overview" TargetMode="External"/><Relationship Id="rId20" Type="http://schemas.openxmlformats.org/officeDocument/2006/relationships/hyperlink" Target="http://loop.frontiersin.org/people/718049/overview" TargetMode="External"/><Relationship Id="rId21" Type="http://schemas.openxmlformats.org/officeDocument/2006/relationships/hyperlink" Target="http://loop.frontiersin.org/people/718021/overview" TargetMode="External"/><Relationship Id="rId22" Type="http://schemas.openxmlformats.org/officeDocument/2006/relationships/hyperlink" Target="http://loop.frontiersin.org/people/722552/overview" TargetMode="External"/><Relationship Id="rId23" Type="http://schemas.openxmlformats.org/officeDocument/2006/relationships/hyperlink" Target="http://loop.frontiersin.org/people/718436/overview" TargetMode="External"/><Relationship Id="rId24" Type="http://schemas.openxmlformats.org/officeDocument/2006/relationships/hyperlink" Target="http://loop.frontiersin.org/people/506827/overview" TargetMode="External"/><Relationship Id="rId25" Type="http://schemas.openxmlformats.org/officeDocument/2006/relationships/hyperlink" Target="http://loop.frontiersin.org/people/718401/overview" TargetMode="External"/><Relationship Id="rId26" Type="http://schemas.openxmlformats.org/officeDocument/2006/relationships/image" Target="media/image3.png"/><Relationship Id="rId27" Type="http://schemas.openxmlformats.org/officeDocument/2006/relationships/image" Target="media/image4.png"/><Relationship Id="rId28" Type="http://schemas.openxmlformats.org/officeDocument/2006/relationships/hyperlink" Target="mailto:kaniusas@tuwien.ac.at" TargetMode="External"/><Relationship Id="rId29" Type="http://schemas.openxmlformats.org/officeDocument/2006/relationships/header" Target="header1.xml"/><Relationship Id="rId30" Type="http://schemas.openxmlformats.org/officeDocument/2006/relationships/footer" Target="footer2.xml"/><Relationship Id="rId31" Type="http://schemas.openxmlformats.org/officeDocument/2006/relationships/hyperlink" Target="https://www.frontiersin.org/journals/neuroscience/" TargetMode="External"/><Relationship Id="rId32" Type="http://schemas.openxmlformats.org/officeDocument/2006/relationships/hyperlink" Target="https://www.frontiersin.org/" TargetMode="External"/><Relationship Id="rId33" Type="http://schemas.openxmlformats.org/officeDocument/2006/relationships/hyperlink" Target="https://www.frontiersin.org/journals/neuroscience#articles" TargetMode="External"/><Relationship Id="rId34" Type="http://schemas.openxmlformats.org/officeDocument/2006/relationships/footer" Target="footer3.xml"/><Relationship Id="rId35" Type="http://schemas.openxmlformats.org/officeDocument/2006/relationships/image" Target="media/image5.png"/><Relationship Id="rId36" Type="http://schemas.openxmlformats.org/officeDocument/2006/relationships/image" Target="media/image6.png"/><Relationship Id="rId37" Type="http://schemas.openxmlformats.org/officeDocument/2006/relationships/image" Target="media/image7.png"/><Relationship Id="rId38" Type="http://schemas.openxmlformats.org/officeDocument/2006/relationships/image" Target="media/image8.png"/><Relationship Id="rId39" Type="http://schemas.openxmlformats.org/officeDocument/2006/relationships/image" Target="media/image9.png"/><Relationship Id="rId40" Type="http://schemas.openxmlformats.org/officeDocument/2006/relationships/image" Target="media/image10.png"/><Relationship Id="rId41" Type="http://schemas.openxmlformats.org/officeDocument/2006/relationships/image" Target="media/image11.jpeg"/><Relationship Id="rId42" Type="http://schemas.openxmlformats.org/officeDocument/2006/relationships/image" Target="media/image12.jpeg"/><Relationship Id="rId43" Type="http://schemas.openxmlformats.org/officeDocument/2006/relationships/image" Target="media/image13.png"/><Relationship Id="rId44" Type="http://schemas.openxmlformats.org/officeDocument/2006/relationships/image" Target="media/image14.png"/><Relationship Id="rId45" Type="http://schemas.openxmlformats.org/officeDocument/2006/relationships/image" Target="media/image15.png"/><Relationship Id="rId46" Type="http://schemas.openxmlformats.org/officeDocument/2006/relationships/image" Target="media/image16.png"/><Relationship Id="rId47" Type="http://schemas.openxmlformats.org/officeDocument/2006/relationships/hyperlink" Target="https://doi.org/10.1016/j.brs.2018.06.003" TargetMode="External"/><Relationship Id="rId48" Type="http://schemas.openxmlformats.org/officeDocument/2006/relationships/hyperlink" Target="https://doi.org/10.1016/j.brs.2018.04.004" TargetMode="External"/><Relationship Id="rId49" Type="http://schemas.openxmlformats.org/officeDocument/2006/relationships/hyperlink" Target="https://doi.org/10.1186/s10194-015-0542-4" TargetMode="External"/><Relationship Id="rId50" Type="http://schemas.openxmlformats.org/officeDocument/2006/relationships/hyperlink" Target="https://doi.org/10.1097/WNP.0b013e3181d64d8a" TargetMode="External"/><Relationship Id="rId51" Type="http://schemas.openxmlformats.org/officeDocument/2006/relationships/hyperlink" Target="https://doi.org/10.1111/ene.12629" TargetMode="External"/><Relationship Id="rId52" Type="http://schemas.openxmlformats.org/officeDocument/2006/relationships/hyperlink" Target="https://doi.org/10.1155/2017/7830919" TargetMode="External"/><Relationship Id="rId53" Type="http://schemas.openxmlformats.org/officeDocument/2006/relationships/hyperlink" Target="https://doi.org/10.1016/S1566-0702(00)00215-0" TargetMode="External"/><Relationship Id="rId54" Type="http://schemas.openxmlformats.org/officeDocument/2006/relationships/hyperlink" Target="https://doi.org/10.1016/j.cmpb.2016.07.016" TargetMode="External"/><Relationship Id="rId55" Type="http://schemas.openxmlformats.org/officeDocument/2006/relationships/hyperlink" Target="https://doi.org/10.1016/j.seizure.2015.08.011" TargetMode="External"/><Relationship Id="rId56" Type="http://schemas.openxmlformats.org/officeDocument/2006/relationships/hyperlink" Target="https://doi.org/10.1113/jphysiol.1934.sp003176" TargetMode="External"/><Relationship Id="rId57" Type="http://schemas.openxmlformats.org/officeDocument/2006/relationships/hyperlink" Target="https://doi.org/10.1007/s00424-014-1591-2" TargetMode="External"/><Relationship Id="rId58" Type="http://schemas.openxmlformats.org/officeDocument/2006/relationships/hyperlink" Target="https://doi.org/10.1016/j.brs.2018.03.018" TargetMode="External"/><Relationship Id="rId59" Type="http://schemas.openxmlformats.org/officeDocument/2006/relationships/hyperlink" Target="https://doi.org/10.1016/j.brs.2012.04.006" TargetMode="External"/><Relationship Id="rId60" Type="http://schemas.openxmlformats.org/officeDocument/2006/relationships/hyperlink" Target="https://doi.org/10.1038/nature03875" TargetMode="External"/><Relationship Id="rId61" Type="http://schemas.openxmlformats.org/officeDocument/2006/relationships/hyperlink" Target="https://doi.org/10.1016/j.ijcard.2015.03.351" TargetMode="External"/><Relationship Id="rId62" Type="http://schemas.openxmlformats.org/officeDocument/2006/relationships/hyperlink" Target="https://doi.org/10.1161/STROKEAHA.115.010477" TargetMode="External"/><Relationship Id="rId63" Type="http://schemas.openxmlformats.org/officeDocument/2006/relationships/hyperlink" Target="https://doi.org/10.1111/ner.12127" TargetMode="External"/><Relationship Id="rId64" Type="http://schemas.openxmlformats.org/officeDocument/2006/relationships/hyperlink" Target="https://doi.org/10.1007/s13311-014-0272-3" TargetMode="External"/><Relationship Id="rId65" Type="http://schemas.openxmlformats.org/officeDocument/2006/relationships/hyperlink" Target="https://doi.org/10.1113/EP086433" TargetMode="External"/><Relationship Id="rId66" Type="http://schemas.openxmlformats.org/officeDocument/2006/relationships/hyperlink" Target="https://doi.org/10.1515/BMT.2008.022" TargetMode="External"/><Relationship Id="rId67" Type="http://schemas.openxmlformats.org/officeDocument/2006/relationships/hyperlink" Target="https://doi.org/10.1016/j.seizure.2014.02.012" TargetMode="External"/><Relationship Id="rId68" Type="http://schemas.openxmlformats.org/officeDocument/2006/relationships/hyperlink" Target="https://doi.org/10.1111/j.1525-1403.2005.00029.x" TargetMode="External"/><Relationship Id="rId69" Type="http://schemas.openxmlformats.org/officeDocument/2006/relationships/hyperlink" Target="https://doi.org/10.1016/S1566-0702(01)00265-X" TargetMode="External"/><Relationship Id="rId70" Type="http://schemas.openxmlformats.org/officeDocument/2006/relationships/hyperlink" Target="https://doi.org/10.1046/j.1528-1157.2001.0420081007.x" TargetMode="External"/><Relationship Id="rId71" Type="http://schemas.openxmlformats.org/officeDocument/2006/relationships/hyperlink" Target="https://doi.org/10.1097/j.pain.0000000000000930" TargetMode="External"/><Relationship Id="rId72" Type="http://schemas.openxmlformats.org/officeDocument/2006/relationships/hyperlink" Target="https://doi.org/10.1177/0333102415607070" TargetMode="External"/><Relationship Id="rId73" Type="http://schemas.openxmlformats.org/officeDocument/2006/relationships/hyperlink" Target="https://doi.org/10.1109/TNSRE.2012.2202403" TargetMode="External"/><Relationship Id="rId74" Type="http://schemas.openxmlformats.org/officeDocument/2006/relationships/hyperlink" Target="https://doi.org/10.1016/j.neubiorev.2005.01.004" TargetMode="External"/><Relationship Id="rId75" Type="http://schemas.openxmlformats.org/officeDocument/2006/relationships/hyperlink" Target="https://doi.org/10.1088/1741-2560/13/4/041002" TargetMode="External"/><Relationship Id="rId76" Type="http://schemas.openxmlformats.org/officeDocument/2006/relationships/hyperlink" Target="https://doi.org/10.1007/s13311-015-0417-z" TargetMode="External"/><Relationship Id="rId77" Type="http://schemas.openxmlformats.org/officeDocument/2006/relationships/hyperlink" Target="https://doi.org/10.1155/2012/786839" TargetMode="External"/><Relationship Id="rId78" Type="http://schemas.openxmlformats.org/officeDocument/2006/relationships/hyperlink" Target="https://doi.org/10.1007/s40473-014-0010-5" TargetMode="External"/><Relationship Id="rId79" Type="http://schemas.openxmlformats.org/officeDocument/2006/relationships/hyperlink" Target="https://doi.org/10.1016/j.ijpsycho.2015.10.001" TargetMode="External"/><Relationship Id="rId80" Type="http://schemas.openxmlformats.org/officeDocument/2006/relationships/hyperlink" Target="https://doi.org/10.1109/ner.2013.6695922" TargetMode="External"/><Relationship Id="rId81" Type="http://schemas.openxmlformats.org/officeDocument/2006/relationships/hyperlink" Target="https://doi.org/10.1515/cdbme-2016-0131" TargetMode="External"/><Relationship Id="rId82" Type="http://schemas.openxmlformats.org/officeDocument/2006/relationships/hyperlink" Target="https://doi.org/10.1007/978-3-642-24843-6" TargetMode="External"/><Relationship Id="rId83" Type="http://schemas.openxmlformats.org/officeDocument/2006/relationships/hyperlink" Target="https://doi.org/10.5220/0001779703040309" TargetMode="External"/><Relationship Id="rId84" Type="http://schemas.openxmlformats.org/officeDocument/2006/relationships/hyperlink" Target="https://doi.org/10.1109/tim.2011.2159314" TargetMode="External"/><Relationship Id="rId85" Type="http://schemas.openxmlformats.org/officeDocument/2006/relationships/hyperlink" Target="https://doi.org/10.1088/1361-6579/aa6782" TargetMode="External"/><Relationship Id="rId86" Type="http://schemas.openxmlformats.org/officeDocument/2006/relationships/hyperlink" Target="https://doi.org/10.1016/S2468-1253(17)30253-4" TargetMode="External"/><Relationship Id="rId87" Type="http://schemas.openxmlformats.org/officeDocument/2006/relationships/hyperlink" Target="https://doi.org/10.3389/fpsyt.2012.00070" TargetMode="External"/><Relationship Id="rId88" Type="http://schemas.openxmlformats.org/officeDocument/2006/relationships/hyperlink" Target="https://doi.org/10.1007/s11517-008-0422-z" TargetMode="External"/><Relationship Id="rId89" Type="http://schemas.openxmlformats.org/officeDocument/2006/relationships/hyperlink" Target="https://doi.org/10.3109/00016489.2012.750736" TargetMode="External"/><Relationship Id="rId90" Type="http://schemas.openxmlformats.org/officeDocument/2006/relationships/hyperlink" Target="https://doi.org/10.1212/wnl.57.5.885" TargetMode="External"/><Relationship Id="rId91" Type="http://schemas.openxmlformats.org/officeDocument/2006/relationships/hyperlink" Target="https://doi.org/10.1111/epi.13738" TargetMode="External"/><Relationship Id="rId92" Type="http://schemas.openxmlformats.org/officeDocument/2006/relationships/hyperlink" Target="https://doi.org/10.1016/j.brs.2019.05.002" TargetMode="External"/><Relationship Id="rId93" Type="http://schemas.openxmlformats.org/officeDocument/2006/relationships/hyperlink" Target="https://doi.org/10.1016/j.eplepsyres.2014.02.004" TargetMode="External"/><Relationship Id="rId94" Type="http://schemas.openxmlformats.org/officeDocument/2006/relationships/hyperlink" Target="https://doi.org/10.1152/jn.00353.2001" TargetMode="External"/><Relationship Id="rId95" Type="http://schemas.openxmlformats.org/officeDocument/2006/relationships/hyperlink" Target="https://doi.org/10.1089/acu.2017.1254" TargetMode="External"/><Relationship Id="rId96" Type="http://schemas.openxmlformats.org/officeDocument/2006/relationships/hyperlink" Target="https://doi.org/10.1080/17434440.2018.1507732" TargetMode="External"/><Relationship Id="rId97" Type="http://schemas.openxmlformats.org/officeDocument/2006/relationships/hyperlink" Target="https://doi.org/10.1016/s1525-5050(03)00225-7" TargetMode="External"/><Relationship Id="rId98" Type="http://schemas.openxmlformats.org/officeDocument/2006/relationships/hyperlink" Target="https://doi.org/10.1186/s10194-016-0633-x" TargetMode="External"/><Relationship Id="rId99" Type="http://schemas.openxmlformats.org/officeDocument/2006/relationships/hyperlink" Target="https://doi.org/10.1111/j.1526-4637.2012.01385.x" TargetMode="External"/><Relationship Id="rId100" Type="http://schemas.openxmlformats.org/officeDocument/2006/relationships/hyperlink" Target="https://doi.org/10.1155/2018/6920420" TargetMode="External"/><Relationship Id="rId101" Type="http://schemas.openxmlformats.org/officeDocument/2006/relationships/hyperlink" Target="https://doi.org/10.1088/0031-9155/61/12/4390" TargetMode="External"/><Relationship Id="rId102" Type="http://schemas.openxmlformats.org/officeDocument/2006/relationships/hyperlink" Target="https://doi.org/10.1098/rsfs.2012.0058" TargetMode="External"/><Relationship Id="rId103" Type="http://schemas.openxmlformats.org/officeDocument/2006/relationships/hyperlink" Target="https://doi.org/10.1177/0333102417717470" TargetMode="External"/><Relationship Id="rId104" Type="http://schemas.openxmlformats.org/officeDocument/2006/relationships/hyperlink" Target="https://doi.org/10.1016/j.biopsych.2012.10.021" TargetMode="External"/><Relationship Id="rId105" Type="http://schemas.openxmlformats.org/officeDocument/2006/relationships/hyperlink" Target="https://doi.org/10.1002/ca.1089" TargetMode="External"/><Relationship Id="rId106" Type="http://schemas.openxmlformats.org/officeDocument/2006/relationships/hyperlink" Target="https://doi.org/10.1007/s00702-009-0282-1" TargetMode="External"/><Relationship Id="rId107" Type="http://schemas.openxmlformats.org/officeDocument/2006/relationships/hyperlink" Target="https://doi.org/10.1111/j.1471-4159.2011.07214.x" TargetMode="External"/><Relationship Id="rId108" Type="http://schemas.openxmlformats.org/officeDocument/2006/relationships/hyperlink" Target="https://doi.org/10.1109/TBME.1986.325670" TargetMode="External"/><Relationship Id="rId109" Type="http://schemas.openxmlformats.org/officeDocument/2006/relationships/hyperlink" Target="https://doi.org/10.1016/s0306-4522(98)00330-3" TargetMode="External"/><Relationship Id="rId110" Type="http://schemas.openxmlformats.org/officeDocument/2006/relationships/hyperlink" Target="https://doi.org/10.1109/TBME.2016.2554559" TargetMode="External"/><Relationship Id="rId111" Type="http://schemas.openxmlformats.org/officeDocument/2006/relationships/hyperlink" Target="https://doi.org/10.23919/emf-med.2018.8526013" TargetMode="External"/><Relationship Id="rId112" Type="http://schemas.openxmlformats.org/officeDocument/2006/relationships/hyperlink" Target="https://doi.org/10.2147/MDER.S107426" TargetMode="External"/><Relationship Id="rId113" Type="http://schemas.openxmlformats.org/officeDocument/2006/relationships/hyperlink" Target="https://doi.org/10.1109/TBME.2017.2759667" TargetMode="External"/><Relationship Id="rId114" Type="http://schemas.openxmlformats.org/officeDocument/2006/relationships/hyperlink" Target="https://doi.org/10.1109/TBME.2015.2498878" TargetMode="External"/><Relationship Id="rId115" Type="http://schemas.openxmlformats.org/officeDocument/2006/relationships/hyperlink" Target="https://doi.org/10.1002/ar.23391" TargetMode="External"/><Relationship Id="rId116" Type="http://schemas.openxmlformats.org/officeDocument/2006/relationships/hyperlink" Target="https://doi.org/10.1109/TNSRE.2015.2498973" TargetMode="External"/><Relationship Id="rId117" Type="http://schemas.openxmlformats.org/officeDocument/2006/relationships/hyperlink" Target="https://doi.org/10.3390/app9030540" TargetMode="External"/><Relationship Id="rId118" Type="http://schemas.openxmlformats.org/officeDocument/2006/relationships/hyperlink" Target="https://doi.org/10.1007/s11517-017-1629-7" TargetMode="External"/><Relationship Id="rId119" Type="http://schemas.openxmlformats.org/officeDocument/2006/relationships/hyperlink" Target="https://doi.org/10.1586/17434440.4.1.23" TargetMode="External"/><Relationship Id="rId120" Type="http://schemas.openxmlformats.org/officeDocument/2006/relationships/hyperlink" Target="https://doi.org/10.1213/01.ane.0000107941.16173.f7" TargetMode="External"/><Relationship Id="rId121" Type="http://schemas.openxmlformats.org/officeDocument/2006/relationships/hyperlink" Target="https://doi.org/10.1016/j.brs.2019.02.003" TargetMode="External"/><Relationship Id="rId122" Type="http://schemas.openxmlformats.org/officeDocument/2006/relationships/hyperlink" Target="https://doi.org/10.1016/j.hrthm.2014.08.001" TargetMode="External"/><Relationship Id="rId123" Type="http://schemas.openxmlformats.org/officeDocument/2006/relationships/hyperlink" Target="https://doi.org/10.23919/emf-med.2018.8526021" TargetMode="External"/><Relationship Id="rId124" Type="http://schemas.openxmlformats.org/officeDocument/2006/relationships/hyperlink" Target="https://doi.org/10.1212/WNL.0000000000002918" TargetMode="External"/><Relationship Id="rId125" Type="http://schemas.openxmlformats.org/officeDocument/2006/relationships/hyperlink" Target="https://doi.org/10.1109/TNSRE.2012.2183617" TargetMode="External"/><Relationship Id="rId126" Type="http://schemas.openxmlformats.org/officeDocument/2006/relationships/hyperlink" Target="https://doi.org/10.1016/j.tcm.2015.04.007" TargetMode="External"/><Relationship Id="rId127" Type="http://schemas.openxmlformats.org/officeDocument/2006/relationships/hyperlink" Target="https://doi.org/10.1186/s10194-015-0543-3" TargetMode="External"/><Relationship Id="rId128" Type="http://schemas.openxmlformats.org/officeDocument/2006/relationships/hyperlink" Target="https://doi.org/10.1016/j.eplepsyres.2017.10.010" TargetMode="External"/><Relationship Id="rId129" Type="http://schemas.openxmlformats.org/officeDocument/2006/relationships/hyperlink" Target="https://doi.org/10.1007/s11517-018-1799-y" TargetMode="External"/><Relationship Id="rId130" Type="http://schemas.openxmlformats.org/officeDocument/2006/relationships/hyperlink" Target="https://doi.org/10.1007/s00276-998-0253-5" TargetMode="External"/><Relationship Id="rId131" Type="http://schemas.openxmlformats.org/officeDocument/2006/relationships/hyperlink" Target="https://doi.org/10.1007/s00276-008-0438-y" TargetMode="External"/><Relationship Id="rId132" Type="http://schemas.openxmlformats.org/officeDocument/2006/relationships/hyperlink" Target="https://doi.org/10.1007/s11517-006-0037-1" TargetMode="External"/><Relationship Id="rId133" Type="http://schemas.openxmlformats.org/officeDocument/2006/relationships/hyperlink" Target="https://doi.org/10.1109/TNSRE.2014.2351271" TargetMode="External"/><Relationship Id="rId134" Type="http://schemas.openxmlformats.org/officeDocument/2006/relationships/hyperlink" Target="https://doi.org/10.1111/ner.12541" TargetMode="External"/><Relationship Id="rId135" Type="http://schemas.openxmlformats.org/officeDocument/2006/relationships/hyperlink" Target="https://doi.org/10.1111/head.12650" TargetMode="External"/><Relationship Id="rId136" Type="http://schemas.openxmlformats.org/officeDocument/2006/relationships/hyperlink" Target="https://doi.org/10.1152/ajpheart.00738.2001" TargetMode="External"/><Relationship Id="rId137" Type="http://schemas.openxmlformats.org/officeDocument/2006/relationships/hyperlink" Target="http://creativecommons.org/licenses/by/4.0/" TargetMode="External"/><Relationship Id="rId13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s://www.frontiersin.org/journals/neuroscience/" TargetMode="External"/><Relationship Id="rId2" Type="http://schemas.openxmlformats.org/officeDocument/2006/relationships/hyperlink" Target="https://www.frontiersin.org/" TargetMode="External"/><Relationship Id="rId3" Type="http://schemas.openxmlformats.org/officeDocument/2006/relationships/hyperlink" Target="https://www.frontiersin.org/journals/neuroscience#article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frontiersin.org/journals/neuroscience/" TargetMode="External"/><Relationship Id="rId2" Type="http://schemas.openxmlformats.org/officeDocument/2006/relationships/hyperlink" Target="https://www.frontiersin.org/" TargetMode="External"/><Relationship Id="rId3" Type="http://schemas.openxmlformats.org/officeDocument/2006/relationships/hyperlink" Target="https://www.frontiersin.org/journals/neuroscience#artic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Eugenijus Kaniusas</dc:creator>
  <cp:keywords>vagus nerve stimulation, auricular nerves, auricular transillumination, stimulation patterns, stimulation optimization, in silico modeling, personalized stimulation</cp:keywords>
  <dc:subject>Electrical stimulation of the auricular vagus nerve (aVNS) is an emerging electroceutical technology in the field of bioelectronic medicine with applications in therapy.</dc:subject>
  <dc:title>Current Directions in the Auricular Vagus Nerve Stimulation II – An Engineering Perspective</dc:title>
  <dcterms:created xsi:type="dcterms:W3CDTF">2020-01-15T14:33:55Z</dcterms:created>
  <dcterms:modified xsi:type="dcterms:W3CDTF">2020-01-15T14:33:55Z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2019-07-22T00:00:00Z</vt:filetime>
  </property>
  <property fmtid="{D5CDD505-2E9C-101B-9397-08002B2CF9AE}" pid="3" name="Creator">
    <vt:lpwstr>LaTeX with hyperref package</vt:lpwstr>
  </property>
  <property fmtid="{D5CDD505-2E9C-101B-9397-08002B2CF9AE}" pid="4" name="LastSaved">
    <vt:filetime>2020-01-15T00:00:00Z</vt:filetime>
  </property>
</Properties>
</file>